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777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B401024" wp14:editId="03B7E6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BC31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6894623C" w14:textId="77777777" w:rsidTr="00577249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F270FC3" w14:textId="7C0110A5" w:rsidR="003B5733" w:rsidRPr="005115DC" w:rsidRDefault="007403D7" w:rsidP="00823781">
            <w:pPr>
              <w:pStyle w:val="Documenttitle"/>
              <w:rPr>
                <w:sz w:val="36"/>
                <w:szCs w:val="36"/>
              </w:rPr>
            </w:pPr>
            <w:r w:rsidRPr="240D9216">
              <w:rPr>
                <w:sz w:val="36"/>
                <w:szCs w:val="36"/>
              </w:rPr>
              <w:t>Vaxelis</w:t>
            </w:r>
            <w:r w:rsidRPr="240D9216">
              <w:rPr>
                <w:rFonts w:cs="Arial"/>
                <w:sz w:val="36"/>
                <w:szCs w:val="36"/>
              </w:rPr>
              <w:t>®</w:t>
            </w:r>
            <w:r w:rsidRPr="240D9216">
              <w:rPr>
                <w:sz w:val="36"/>
                <w:szCs w:val="36"/>
              </w:rPr>
              <w:t xml:space="preserve"> </w:t>
            </w:r>
            <w:r w:rsidR="00065C73" w:rsidRPr="240D9216">
              <w:rPr>
                <w:sz w:val="36"/>
                <w:szCs w:val="36"/>
              </w:rPr>
              <w:t xml:space="preserve">vaccine </w:t>
            </w:r>
          </w:p>
        </w:tc>
      </w:tr>
      <w:tr w:rsidR="003B5733" w14:paraId="60F0864A" w14:textId="77777777" w:rsidTr="00577249">
        <w:trPr>
          <w:trHeight w:val="1344"/>
        </w:trPr>
        <w:tc>
          <w:tcPr>
            <w:tcW w:w="10348" w:type="dxa"/>
          </w:tcPr>
          <w:p w14:paraId="378579F8" w14:textId="4D979614" w:rsidR="2DB8B759" w:rsidRDefault="00EB6A9A" w:rsidP="259FF9D5">
            <w:pPr>
              <w:pStyle w:val="Bannermarking"/>
              <w:rPr>
                <w:b w:val="0"/>
                <w:bCs w:val="0"/>
                <w:color w:val="404040" w:themeColor="text1" w:themeTint="BF"/>
                <w:sz w:val="28"/>
                <w:szCs w:val="28"/>
              </w:rPr>
            </w:pPr>
            <w:r w:rsidRPr="00482426">
              <w:rPr>
                <w:b w:val="0"/>
                <w:color w:val="404040" w:themeColor="text1" w:themeTint="BF"/>
                <w:sz w:val="28"/>
                <w:szCs w:val="28"/>
              </w:rPr>
              <w:t xml:space="preserve">Factsheet for </w:t>
            </w:r>
            <w:r w:rsidR="00410067">
              <w:rPr>
                <w:b w:val="0"/>
                <w:color w:val="404040" w:themeColor="text1" w:themeTint="BF"/>
                <w:sz w:val="28"/>
                <w:szCs w:val="28"/>
              </w:rPr>
              <w:t>Immunisation providers</w:t>
            </w:r>
            <w:r w:rsidRPr="00482426">
              <w:rPr>
                <w:b w:val="0"/>
                <w:color w:val="404040" w:themeColor="text1" w:themeTint="BF"/>
                <w:sz w:val="28"/>
                <w:szCs w:val="28"/>
              </w:rPr>
              <w:t xml:space="preserve"> </w:t>
            </w:r>
            <w:r w:rsidR="2DB8B759" w:rsidRPr="259FF9D5">
              <w:rPr>
                <w:b w:val="0"/>
                <w:bCs w:val="0"/>
                <w:color w:val="404040" w:themeColor="text1" w:themeTint="BF"/>
                <w:sz w:val="28"/>
                <w:szCs w:val="28"/>
              </w:rPr>
              <w:t>Ju</w:t>
            </w:r>
            <w:r w:rsidR="007403D7">
              <w:rPr>
                <w:b w:val="0"/>
                <w:bCs w:val="0"/>
                <w:color w:val="404040" w:themeColor="text1" w:themeTint="BF"/>
                <w:sz w:val="28"/>
                <w:szCs w:val="28"/>
              </w:rPr>
              <w:t>ly</w:t>
            </w:r>
            <w:r w:rsidR="2DB8B759" w:rsidRPr="259FF9D5">
              <w:rPr>
                <w:b w:val="0"/>
                <w:bCs w:val="0"/>
                <w:color w:val="404040" w:themeColor="text1" w:themeTint="BF"/>
                <w:sz w:val="28"/>
                <w:szCs w:val="28"/>
              </w:rPr>
              <w:t xml:space="preserve"> 2023  </w:t>
            </w:r>
          </w:p>
          <w:p w14:paraId="2A2B3876" w14:textId="0A32D12E" w:rsidR="259FF9D5" w:rsidRDefault="259FF9D5" w:rsidP="259FF9D5">
            <w:pPr>
              <w:pStyle w:val="Bannermarking"/>
              <w:rPr>
                <w:b w:val="0"/>
                <w:bCs w:val="0"/>
                <w:color w:val="404040" w:themeColor="text1" w:themeTint="BF"/>
                <w:sz w:val="28"/>
                <w:szCs w:val="28"/>
              </w:rPr>
            </w:pPr>
          </w:p>
          <w:p w14:paraId="780A2661" w14:textId="369CA3C1" w:rsidR="003B5733" w:rsidRPr="001E5058" w:rsidRDefault="0017018A" w:rsidP="001E5058">
            <w:pPr>
              <w:pStyle w:val="Bannermarking"/>
            </w:pPr>
            <w:fldSimple w:instr="FILLIN  &quot;Type the protective marking&quot; \d OFFICIAL \o  \* MERGEFORMAT">
              <w:r w:rsidR="00531F93">
                <w:t>OFFICIAL</w:t>
              </w:r>
            </w:fldSimple>
          </w:p>
          <w:p w14:paraId="27ED9818" w14:textId="2ED7389A" w:rsidR="003B5733" w:rsidRPr="001E5058" w:rsidRDefault="003B5733" w:rsidP="00E93BAA">
            <w:pPr>
              <w:pStyle w:val="Bullet1"/>
              <w:numPr>
                <w:ilvl w:val="0"/>
                <w:numId w:val="0"/>
              </w:numPr>
            </w:pPr>
          </w:p>
        </w:tc>
      </w:tr>
    </w:tbl>
    <w:p w14:paraId="59E1C36F" w14:textId="77777777" w:rsidR="0017058F" w:rsidRDefault="0017058F" w:rsidP="00357ABB">
      <w:pPr>
        <w:pStyle w:val="Body"/>
        <w:rPr>
          <w:rFonts w:eastAsia="Times New Roman"/>
          <w:b/>
          <w:color w:val="53565A"/>
          <w:sz w:val="24"/>
          <w:szCs w:val="24"/>
          <w:lang w:val="en-US"/>
        </w:rPr>
      </w:pPr>
    </w:p>
    <w:p w14:paraId="0C14F658" w14:textId="7208E262" w:rsidR="00D705EC" w:rsidRPr="00C56391" w:rsidRDefault="00C56391" w:rsidP="0017058F">
      <w:pPr>
        <w:pStyle w:val="Body"/>
        <w:spacing w:before="120" w:after="240"/>
        <w:rPr>
          <w:rFonts w:eastAsia="Times New Roman"/>
          <w:b/>
          <w:color w:val="53565A"/>
          <w:sz w:val="24"/>
          <w:szCs w:val="24"/>
          <w:lang w:val="en-US"/>
        </w:rPr>
      </w:pPr>
      <w:r>
        <w:rPr>
          <w:rFonts w:eastAsia="Times New Roman"/>
          <w:b/>
          <w:color w:val="53565A"/>
          <w:sz w:val="24"/>
          <w:szCs w:val="24"/>
          <w:lang w:val="en-US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190F" w14:paraId="47A1AA00" w14:textId="77777777" w:rsidTr="5D3915A3"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4FC95199" w14:textId="14558298" w:rsidR="004C38EA" w:rsidRPr="00AD4C0B" w:rsidRDefault="00065C73" w:rsidP="5D3915A3">
            <w:pPr>
              <w:pStyle w:val="Body"/>
              <w:numPr>
                <w:ilvl w:val="0"/>
                <w:numId w:val="46"/>
              </w:numPr>
              <w:spacing w:before="120" w:line="288" w:lineRule="auto"/>
              <w:ind w:left="357" w:hanging="357"/>
              <w:rPr>
                <w:rStyle w:val="Hyperlink"/>
                <w:rFonts w:cs="Arial"/>
                <w:color w:val="auto"/>
                <w:u w:val="none"/>
                <w:lang w:val="en-US"/>
              </w:rPr>
            </w:pPr>
            <w:r w:rsidRPr="5D3915A3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From 1 July 2023, </w:t>
            </w:r>
            <w:r w:rsidR="454068C5" w:rsidRPr="5D3915A3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the </w:t>
            </w:r>
            <w:r w:rsidRPr="5D3915A3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hexavalent </w:t>
            </w:r>
            <w:r w:rsidR="00632A91">
              <w:rPr>
                <w:rStyle w:val="Hyperlink"/>
                <w:rFonts w:cs="Arial"/>
                <w:color w:val="auto"/>
                <w:u w:val="none"/>
                <w:lang w:val="en-US"/>
              </w:rPr>
              <w:t>(</w:t>
            </w:r>
            <w:r w:rsidR="00632A91" w:rsidRPr="00040751">
              <w:rPr>
                <w:rStyle w:val="Hyperlink"/>
                <w:rFonts w:cs="Arial"/>
                <w:color w:val="auto"/>
                <w:u w:val="none"/>
                <w:lang w:val="en-US"/>
              </w:rPr>
              <w:t>6-in-1)</w:t>
            </w:r>
            <w:r w:rsidR="00040751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 </w:t>
            </w:r>
            <w:r w:rsidRPr="5D3915A3">
              <w:rPr>
                <w:rStyle w:val="Hyperlink"/>
                <w:rFonts w:cs="Arial"/>
                <w:color w:val="auto"/>
                <w:u w:val="none"/>
                <w:lang w:val="en-US"/>
              </w:rPr>
              <w:t>vaccine</w:t>
            </w:r>
            <w:r w:rsidR="00040751">
              <w:rPr>
                <w:rStyle w:val="Hyperlink"/>
                <w:rFonts w:cs="Arial"/>
                <w:color w:val="auto"/>
                <w:u w:val="none"/>
                <w:lang w:val="en-US"/>
              </w:rPr>
              <w:t>,</w:t>
            </w:r>
            <w:r w:rsidR="00632A91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 </w:t>
            </w:r>
            <w:r w:rsidRPr="5D3915A3">
              <w:rPr>
                <w:rStyle w:val="Hyperlink"/>
                <w:rFonts w:cs="Arial"/>
                <w:color w:val="auto"/>
                <w:u w:val="none"/>
                <w:lang w:val="en-US"/>
              </w:rPr>
              <w:t xml:space="preserve">Vaxelis® will be added to the </w:t>
            </w:r>
            <w:hyperlink r:id="rId17">
              <w:r w:rsidRPr="5D3915A3">
                <w:rPr>
                  <w:rStyle w:val="Hyperlink"/>
                  <w:rFonts w:cs="Arial"/>
                  <w:lang w:val="en-US"/>
                </w:rPr>
                <w:t>National Immunisation Program</w:t>
              </w:r>
              <w:r w:rsidR="004C38EA" w:rsidRPr="5D3915A3">
                <w:rPr>
                  <w:rStyle w:val="Hyperlink"/>
                  <w:rFonts w:cs="Arial"/>
                  <w:lang w:val="en-US"/>
                </w:rPr>
                <w:t xml:space="preserve"> (NIP) schedule.</w:t>
              </w:r>
            </w:hyperlink>
          </w:p>
          <w:p w14:paraId="2E7A04AC" w14:textId="56D3CE03" w:rsidR="001E3168" w:rsidRPr="00AD4C0B" w:rsidRDefault="001E3168" w:rsidP="004E6337">
            <w:pPr>
              <w:pStyle w:val="Body"/>
              <w:numPr>
                <w:ilvl w:val="0"/>
                <w:numId w:val="46"/>
              </w:numPr>
              <w:spacing w:before="120" w:line="288" w:lineRule="auto"/>
              <w:ind w:left="357" w:hanging="357"/>
              <w:rPr>
                <w:rFonts w:cs="Arial"/>
                <w:szCs w:val="21"/>
                <w:lang w:val="en-US"/>
              </w:rPr>
            </w:pPr>
            <w:r w:rsidRPr="00AD4C0B">
              <w:rPr>
                <w:rStyle w:val="normaltextrun"/>
                <w:rFonts w:eastAsia="MS Mincho" w:cs="Arial"/>
                <w:szCs w:val="21"/>
              </w:rPr>
              <w:t xml:space="preserve">Vaxelis® is used </w:t>
            </w:r>
            <w:r w:rsidR="00A32BE5" w:rsidRPr="00AD4C0B">
              <w:rPr>
                <w:rStyle w:val="normaltextrun"/>
                <w:rFonts w:eastAsia="MS Mincho" w:cs="Arial"/>
                <w:szCs w:val="21"/>
              </w:rPr>
              <w:t>for</w:t>
            </w:r>
            <w:r w:rsidRPr="00AD4C0B">
              <w:rPr>
                <w:rStyle w:val="normaltextrun"/>
                <w:rFonts w:eastAsia="MS Mincho" w:cs="Arial"/>
                <w:szCs w:val="21"/>
              </w:rPr>
              <w:t xml:space="preserve"> primary vaccination against diphtheria, tetanus, pertussis, hepatitis B, poliomyelitis and invasive infections caused by </w:t>
            </w:r>
            <w:r w:rsidRPr="00AD4C0B">
              <w:rPr>
                <w:rStyle w:val="normaltextrun"/>
                <w:rFonts w:eastAsia="MS Mincho" w:cs="Arial"/>
                <w:i/>
                <w:iCs/>
                <w:szCs w:val="21"/>
              </w:rPr>
              <w:t>Haemophilus influenzae</w:t>
            </w:r>
            <w:r w:rsidRPr="00AD4C0B">
              <w:rPr>
                <w:rStyle w:val="normaltextrun"/>
                <w:rFonts w:eastAsia="MS Mincho" w:cs="Arial"/>
                <w:szCs w:val="21"/>
              </w:rPr>
              <w:t xml:space="preserve"> type b (DTPa-hepB-IPV-Hib)</w:t>
            </w:r>
            <w:r w:rsidR="18C27636" w:rsidRPr="00AD4C0B">
              <w:rPr>
                <w:rStyle w:val="normaltextrun"/>
                <w:rFonts w:eastAsia="MS Mincho" w:cs="Arial"/>
                <w:szCs w:val="21"/>
              </w:rPr>
              <w:t>.</w:t>
            </w:r>
            <w:r w:rsidRPr="00AD4C0B">
              <w:rPr>
                <w:rStyle w:val="normaltextrun"/>
                <w:rFonts w:eastAsia="MS Mincho" w:cs="Arial"/>
                <w:szCs w:val="21"/>
              </w:rPr>
              <w:t xml:space="preserve"> </w:t>
            </w:r>
          </w:p>
          <w:p w14:paraId="131FEC71" w14:textId="1A1614CE" w:rsidR="004C38EA" w:rsidRPr="004438CA" w:rsidRDefault="001E3168" w:rsidP="004E6337">
            <w:pPr>
              <w:pStyle w:val="paragraph"/>
              <w:numPr>
                <w:ilvl w:val="0"/>
                <w:numId w:val="46"/>
              </w:numPr>
              <w:spacing w:before="120" w:beforeAutospacing="0" w:after="120" w:afterAutospacing="0" w:line="288" w:lineRule="auto"/>
              <w:ind w:left="357" w:hanging="357"/>
              <w:textAlignment w:val="baseline"/>
              <w:rPr>
                <w:rStyle w:val="normaltextrun"/>
                <w:rFonts w:ascii="Arial" w:hAnsi="Arial" w:cs="Arial"/>
                <w:sz w:val="21"/>
                <w:szCs w:val="21"/>
              </w:rPr>
            </w:pPr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Vaxelis® is being made available as an alternative </w:t>
            </w:r>
            <w:r w:rsidR="00B6757D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hexavalent </w:t>
            </w:r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NIP-funded vaccine to the </w:t>
            </w:r>
            <w:r w:rsidR="004C38EA"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currently listed</w:t>
            </w:r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 Infanrix® hexa, and </w:t>
            </w:r>
            <w:r w:rsidRPr="004438CA">
              <w:rPr>
                <w:rStyle w:val="normaltextrun"/>
                <w:rFonts w:ascii="Arial" w:eastAsia="MS Mincho" w:hAnsi="Arial" w:cs="Arial"/>
                <w:b/>
                <w:bCs/>
                <w:sz w:val="21"/>
                <w:szCs w:val="21"/>
              </w:rPr>
              <w:t>not</w:t>
            </w:r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 as a replacement vaccine. </w:t>
            </w:r>
          </w:p>
          <w:p w14:paraId="0E3B7BE7" w14:textId="77777777" w:rsidR="00DB5050" w:rsidRPr="00DB5050" w:rsidRDefault="00DB5050" w:rsidP="004E6337">
            <w:pPr>
              <w:pStyle w:val="paragraph"/>
              <w:numPr>
                <w:ilvl w:val="0"/>
                <w:numId w:val="46"/>
              </w:numPr>
              <w:spacing w:before="120" w:beforeAutospacing="0" w:after="120" w:afterAutospacing="0" w:line="288" w:lineRule="auto"/>
              <w:ind w:left="357" w:hanging="357"/>
              <w:textAlignment w:val="baseline"/>
              <w:rPr>
                <w:rStyle w:val="normaltextrun"/>
                <w:rFonts w:ascii="Arial" w:hAnsi="Arial" w:cs="Arial"/>
                <w:sz w:val="21"/>
                <w:szCs w:val="21"/>
              </w:rPr>
            </w:pPr>
            <w:r w:rsidRPr="00DB5050">
              <w:rPr>
                <w:rStyle w:val="normaltextrun"/>
                <w:rFonts w:ascii="Arial" w:eastAsia="MS Mincho" w:hAnsi="Arial"/>
                <w:sz w:val="21"/>
                <w:szCs w:val="21"/>
              </w:rPr>
              <w:t>There is no preferential recommendation between the use of these two brands.</w:t>
            </w:r>
          </w:p>
          <w:p w14:paraId="170AC9A8" w14:textId="5A6FCDEA" w:rsidR="00D705EC" w:rsidRPr="002156BF" w:rsidRDefault="00D705EC" w:rsidP="004E6337">
            <w:pPr>
              <w:pStyle w:val="paragraph"/>
              <w:numPr>
                <w:ilvl w:val="0"/>
                <w:numId w:val="46"/>
              </w:numPr>
              <w:spacing w:before="120" w:beforeAutospacing="0" w:after="120" w:afterAutospacing="0" w:line="288" w:lineRule="auto"/>
              <w:ind w:left="357" w:hanging="357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AD4C0B">
              <w:rPr>
                <w:rFonts w:ascii="Arial" w:hAnsi="Arial" w:cs="Arial"/>
                <w:sz w:val="21"/>
                <w:szCs w:val="21"/>
                <w:lang w:val="en-US"/>
              </w:rPr>
              <w:t>The preparation of Vaxelis® and Infanrix® hexa differs</w:t>
            </w:r>
            <w:r w:rsidR="39823ECE" w:rsidRPr="00AD4C0B">
              <w:rPr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64676766" w14:textId="16F69BF7" w:rsidR="002156BF" w:rsidRPr="00AD4C0B" w:rsidRDefault="002156BF" w:rsidP="5D3915A3">
            <w:pPr>
              <w:pStyle w:val="paragraph"/>
              <w:numPr>
                <w:ilvl w:val="0"/>
                <w:numId w:val="46"/>
              </w:numPr>
              <w:spacing w:before="120" w:beforeAutospacing="0" w:after="120" w:afterAutospacing="0" w:line="288" w:lineRule="auto"/>
              <w:ind w:left="357" w:hanging="357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5D3915A3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Prior to vaccination</w:t>
            </w:r>
            <w:r w:rsidR="000B1B9C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,</w:t>
            </w:r>
            <w:r w:rsidRPr="5D3915A3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 immunisation providers should check a child’s immunisation record to determine the DTPa-hepB-IPV-Hib vaccine brand used in any previous primary doses, given elsewhere.</w:t>
            </w:r>
            <w:r w:rsidRPr="5D3915A3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493E5CAE" w14:textId="77777777" w:rsidR="00406379" w:rsidRPr="00AD4C0B" w:rsidRDefault="004C38EA" w:rsidP="004E6337">
            <w:pPr>
              <w:pStyle w:val="paragraph"/>
              <w:numPr>
                <w:ilvl w:val="0"/>
                <w:numId w:val="46"/>
              </w:numPr>
              <w:spacing w:before="120" w:beforeAutospacing="0" w:after="120" w:afterAutospacing="0" w:line="288" w:lineRule="auto"/>
              <w:ind w:left="357" w:hanging="357"/>
              <w:textAlignment w:val="baseline"/>
              <w:rPr>
                <w:rStyle w:val="normaltextrun"/>
                <w:sz w:val="21"/>
                <w:szCs w:val="21"/>
                <w:lang w:val="en-US"/>
              </w:rPr>
            </w:pPr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A primary series of DTPa-hepB-IPV-Hib vaccination should be given using the same vaccine brand where possible.</w:t>
            </w:r>
            <w:r w:rsidR="009761D4"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 </w:t>
            </w:r>
          </w:p>
          <w:p w14:paraId="383440AB" w14:textId="79F4ACD0" w:rsidR="0077190F" w:rsidRPr="002156BF" w:rsidRDefault="00C56391" w:rsidP="004E6337">
            <w:pPr>
              <w:pStyle w:val="paragraph"/>
              <w:numPr>
                <w:ilvl w:val="0"/>
                <w:numId w:val="46"/>
              </w:numPr>
              <w:spacing w:before="120" w:beforeAutospacing="0" w:after="120" w:afterAutospacing="0" w:line="288" w:lineRule="auto"/>
              <w:ind w:left="357" w:hanging="357"/>
              <w:textAlignment w:val="baseline"/>
              <w:rPr>
                <w:sz w:val="21"/>
                <w:szCs w:val="21"/>
                <w:lang w:val="en-US"/>
              </w:rPr>
            </w:pPr>
            <w:bookmarkStart w:id="0" w:name="_Int_ZZHDqSEE"/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The</w:t>
            </w:r>
            <w:bookmarkEnd w:id="0"/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 xml:space="preserve"> </w:t>
            </w:r>
            <w:hyperlink r:id="rId18">
              <w:r w:rsidRPr="2EC86AD0">
                <w:rPr>
                  <w:rStyle w:val="Hyperlink"/>
                  <w:rFonts w:ascii="Arial" w:eastAsia="MS Mincho" w:hAnsi="Arial" w:cs="Arial"/>
                  <w:sz w:val="21"/>
                  <w:szCs w:val="21"/>
                </w:rPr>
                <w:t>Australian Immunisation Handbook</w:t>
              </w:r>
            </w:hyperlink>
            <w:r w:rsidRPr="00AD4C0B">
              <w:rPr>
                <w:rFonts w:ascii="Arial" w:eastAsia="MS Mincho" w:hAnsi="Arial" w:cs="Arial"/>
                <w:sz w:val="21"/>
                <w:szCs w:val="21"/>
              </w:rPr>
              <w:t xml:space="preserve"> </w:t>
            </w:r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will be updated f</w:t>
            </w:r>
            <w:r w:rsidRPr="00AD4C0B">
              <w:rPr>
                <w:rStyle w:val="normaltextrun"/>
                <w:rFonts w:ascii="Arial" w:eastAsia="MS Mincho" w:hAnsi="Arial"/>
                <w:sz w:val="21"/>
                <w:szCs w:val="21"/>
              </w:rPr>
              <w:t xml:space="preserve">rom </w:t>
            </w:r>
            <w:r w:rsidRP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1 July 2023 to reflect vaccine recommendations for Vaxelis</w:t>
            </w:r>
            <w:r w:rsidR="00AD4C0B" w:rsidRPr="00AD4C0B">
              <w:rPr>
                <w:rFonts w:ascii="Arial" w:hAnsi="Arial" w:cs="Arial"/>
                <w:sz w:val="21"/>
                <w:szCs w:val="21"/>
                <w:lang w:val="en-US"/>
              </w:rPr>
              <w:t>®</w:t>
            </w:r>
            <w:r w:rsidR="00AD4C0B">
              <w:rPr>
                <w:rStyle w:val="normaltextrun"/>
                <w:rFonts w:ascii="Arial" w:eastAsia="MS Mincho" w:hAnsi="Arial" w:cs="Arial"/>
                <w:sz w:val="21"/>
                <w:szCs w:val="21"/>
              </w:rPr>
              <w:t>.</w:t>
            </w:r>
          </w:p>
        </w:tc>
      </w:tr>
    </w:tbl>
    <w:p w14:paraId="632CEC6C" w14:textId="669B917D" w:rsidR="002D2702" w:rsidRPr="002D2702" w:rsidRDefault="002D2702" w:rsidP="002D2702">
      <w:pPr>
        <w:pStyle w:val="Heading2"/>
        <w:rPr>
          <w:rStyle w:val="normaltextrun"/>
          <w:rFonts w:eastAsia="MS Gothic"/>
          <w:color w:val="auto"/>
        </w:rPr>
      </w:pPr>
      <w:r w:rsidRPr="002D2702">
        <w:rPr>
          <w:rStyle w:val="normaltextrun"/>
          <w:rFonts w:eastAsia="MS Gothic"/>
          <w:color w:val="auto"/>
        </w:rPr>
        <w:t>Vaxelis</w:t>
      </w:r>
      <w:r w:rsidRPr="002D2702">
        <w:rPr>
          <w:color w:val="auto"/>
        </w:rPr>
        <w:t>® vaccine</w:t>
      </w:r>
    </w:p>
    <w:p w14:paraId="4598FDFC" w14:textId="0CE8ADB2" w:rsidR="0019152D" w:rsidRDefault="00D82183" w:rsidP="0019152D">
      <w:pPr>
        <w:pStyle w:val="Heading2"/>
        <w:rPr>
          <w:sz w:val="24"/>
          <w:szCs w:val="24"/>
          <w:lang w:val="en-US"/>
        </w:rPr>
      </w:pPr>
      <w:bookmarkStart w:id="1" w:name="_Toc125447727"/>
      <w:r w:rsidRPr="240D9216">
        <w:rPr>
          <w:sz w:val="24"/>
          <w:szCs w:val="24"/>
          <w:lang w:val="en-US"/>
        </w:rPr>
        <w:t>Vaxelis</w:t>
      </w:r>
      <w:r w:rsidR="00411EE8">
        <w:t>®</w:t>
      </w:r>
      <w:r w:rsidR="00C01A5C" w:rsidRPr="240D9216">
        <w:rPr>
          <w:sz w:val="24"/>
          <w:szCs w:val="24"/>
          <w:lang w:val="en-US"/>
        </w:rPr>
        <w:t xml:space="preserve"> </w:t>
      </w:r>
      <w:r w:rsidR="000C22EC" w:rsidRPr="240D9216">
        <w:rPr>
          <w:sz w:val="24"/>
          <w:szCs w:val="24"/>
          <w:lang w:val="en-US"/>
        </w:rPr>
        <w:t>eligibility</w:t>
      </w:r>
    </w:p>
    <w:p w14:paraId="297D457D" w14:textId="1022F282" w:rsidR="000D5DB7" w:rsidRDefault="000D5DB7" w:rsidP="000D5DB7">
      <w:pPr>
        <w:pStyle w:val="Body"/>
      </w:pPr>
      <w:r>
        <w:t xml:space="preserve">Vaxelis® is used </w:t>
      </w:r>
      <w:r w:rsidR="22222ED1">
        <w:t>for</w:t>
      </w:r>
      <w:r>
        <w:t xml:space="preserve"> primary </w:t>
      </w:r>
      <w:r w:rsidR="0072272B">
        <w:t>vaccination against</w:t>
      </w:r>
      <w:r>
        <w:t xml:space="preserve"> diphtheria, tetanus, pertussis, hepatitis B, poliomyelitis and invasive infections caused by </w:t>
      </w:r>
      <w:r w:rsidRPr="002D2702">
        <w:rPr>
          <w:i/>
          <w:iCs/>
        </w:rPr>
        <w:t>Haemophilus influenzae</w:t>
      </w:r>
      <w:r>
        <w:t xml:space="preserve"> type b (DTPa-hepB-IPV-Hib) for children at 2 (from 6 weeks), 4 and 6 months of age.  </w:t>
      </w:r>
    </w:p>
    <w:p w14:paraId="2EA928E4" w14:textId="77777777" w:rsidR="00CD021D" w:rsidRDefault="002B0CB7" w:rsidP="000D5DB7">
      <w:pPr>
        <w:pStyle w:val="Body"/>
      </w:pPr>
      <w:r>
        <w:t>Vaxelis® is also suitable and funded for use in children less than 10 years of age who have not previously received DTPa-hepB-IPV-Hib vaccination (catch-up vaccination).</w:t>
      </w:r>
    </w:p>
    <w:p w14:paraId="042FCB19" w14:textId="77777777" w:rsidR="00CB43CA" w:rsidRDefault="00CB43CA" w:rsidP="000D5DB7">
      <w:pPr>
        <w:pStyle w:val="Body"/>
      </w:pPr>
    </w:p>
    <w:p w14:paraId="0836C0CF" w14:textId="77777777" w:rsidR="002B0CB7" w:rsidRPr="005169E7" w:rsidRDefault="00C01A5C" w:rsidP="0017058F">
      <w:pPr>
        <w:spacing w:after="240" w:line="240" w:lineRule="auto"/>
        <w:rPr>
          <w:b/>
          <w:color w:val="53565A"/>
          <w:sz w:val="24"/>
          <w:szCs w:val="24"/>
          <w:lang w:val="en-US"/>
        </w:rPr>
      </w:pPr>
      <w:r w:rsidRPr="005169E7">
        <w:rPr>
          <w:b/>
          <w:color w:val="53565A"/>
          <w:sz w:val="24"/>
          <w:szCs w:val="24"/>
          <w:lang w:val="en-US"/>
        </w:rPr>
        <w:t>National Immunisation Program Schedule</w:t>
      </w:r>
    </w:p>
    <w:p w14:paraId="0F1F529D" w14:textId="6F94FAF0" w:rsidR="0035549B" w:rsidRDefault="001E5E4A" w:rsidP="5D3915A3">
      <w:pPr>
        <w:spacing w:after="0" w:line="240" w:lineRule="auto"/>
        <w:rPr>
          <w:b/>
          <w:bCs/>
          <w:color w:val="53565A"/>
          <w:sz w:val="24"/>
          <w:szCs w:val="24"/>
          <w:lang w:val="en-US"/>
        </w:rPr>
      </w:pPr>
      <w:r w:rsidRPr="5D3915A3">
        <w:rPr>
          <w:rStyle w:val="Hyperlink"/>
          <w:color w:val="auto"/>
          <w:u w:val="none"/>
        </w:rPr>
        <w:t xml:space="preserve">From 1 July 2023, </w:t>
      </w:r>
      <w:r w:rsidR="54B59210" w:rsidRPr="5D3915A3">
        <w:rPr>
          <w:rStyle w:val="Hyperlink"/>
          <w:color w:val="auto"/>
          <w:u w:val="none"/>
        </w:rPr>
        <w:t xml:space="preserve">the </w:t>
      </w:r>
      <w:r w:rsidRPr="5D3915A3">
        <w:rPr>
          <w:rStyle w:val="Hyperlink"/>
          <w:color w:val="auto"/>
          <w:u w:val="none"/>
        </w:rPr>
        <w:t>hexavalent vaccine Vaxelis®</w:t>
      </w:r>
      <w:r w:rsidR="00C56391" w:rsidRPr="5D3915A3">
        <w:rPr>
          <w:rStyle w:val="Hyperlink"/>
          <w:color w:val="auto"/>
          <w:u w:val="none"/>
        </w:rPr>
        <w:t>,</w:t>
      </w:r>
      <w:r w:rsidRPr="5D3915A3">
        <w:rPr>
          <w:rStyle w:val="Hyperlink"/>
          <w:color w:val="auto"/>
          <w:u w:val="none"/>
        </w:rPr>
        <w:t xml:space="preserve"> will be added to the National Immunisation Program (NIP) schedule giving </w:t>
      </w:r>
      <w:r w:rsidR="00D705EC" w:rsidRPr="5D3915A3">
        <w:rPr>
          <w:rStyle w:val="Hyperlink"/>
          <w:color w:val="auto"/>
          <w:u w:val="none"/>
        </w:rPr>
        <w:t xml:space="preserve">immunisation </w:t>
      </w:r>
      <w:r w:rsidRPr="5D3915A3">
        <w:rPr>
          <w:rStyle w:val="Hyperlink"/>
          <w:color w:val="auto"/>
          <w:u w:val="none"/>
        </w:rPr>
        <w:t>providers</w:t>
      </w:r>
      <w:r w:rsidR="00A82DED" w:rsidRPr="5D3915A3">
        <w:rPr>
          <w:rStyle w:val="Hyperlink"/>
          <w:color w:val="auto"/>
          <w:u w:val="none"/>
        </w:rPr>
        <w:t xml:space="preserve"> an option of two brands of vaccine to protect against </w:t>
      </w:r>
      <w:r w:rsidR="00A82DED">
        <w:t>DTPa-hepB-IPV-Hib.</w:t>
      </w:r>
      <w:r w:rsidRPr="5D3915A3">
        <w:rPr>
          <w:b/>
          <w:bCs/>
          <w:color w:val="53565A"/>
          <w:sz w:val="24"/>
          <w:szCs w:val="24"/>
          <w:lang w:val="en-US"/>
        </w:rPr>
        <w:br w:type="page"/>
      </w:r>
    </w:p>
    <w:p w14:paraId="64E42A5C" w14:textId="6C416A46" w:rsidR="001E5E4A" w:rsidRPr="008E4577" w:rsidRDefault="00C37C13" w:rsidP="002D6C6A">
      <w:pPr>
        <w:pStyle w:val="Body"/>
        <w:rPr>
          <w:rStyle w:val="Hyperlink"/>
          <w:rFonts w:eastAsia="Times New Roman"/>
          <w:color w:val="auto"/>
          <w:u w:val="none"/>
        </w:rPr>
      </w:pPr>
      <w:r w:rsidRPr="008E4577">
        <w:rPr>
          <w:rStyle w:val="Hyperlink"/>
          <w:rFonts w:eastAsia="Times New Roman"/>
          <w:b/>
          <w:bCs/>
          <w:color w:val="auto"/>
          <w:u w:val="none"/>
        </w:rPr>
        <w:lastRenderedPageBreak/>
        <w:t>Table 1.</w:t>
      </w:r>
      <w:r w:rsidRPr="008E4577">
        <w:rPr>
          <w:rStyle w:val="Hyperlink"/>
          <w:rFonts w:eastAsia="Times New Roman"/>
          <w:color w:val="auto"/>
          <w:u w:val="none"/>
        </w:rPr>
        <w:t xml:space="preserve"> </w:t>
      </w:r>
      <w:r w:rsidR="00E452C5" w:rsidRPr="008E4577">
        <w:rPr>
          <w:rStyle w:val="Hyperlink"/>
          <w:rFonts w:eastAsia="Times New Roman"/>
          <w:color w:val="auto"/>
          <w:u w:val="none"/>
        </w:rPr>
        <w:t>DTPa-</w:t>
      </w:r>
      <w:r w:rsidR="00E32447" w:rsidRPr="008E4577">
        <w:rPr>
          <w:rStyle w:val="Hyperlink"/>
          <w:rFonts w:eastAsia="Times New Roman"/>
          <w:color w:val="auto"/>
          <w:u w:val="none"/>
        </w:rPr>
        <w:t>hepB</w:t>
      </w:r>
      <w:r w:rsidR="00E452C5" w:rsidRPr="008E4577">
        <w:rPr>
          <w:rStyle w:val="Hyperlink"/>
          <w:rFonts w:eastAsia="Times New Roman"/>
          <w:color w:val="auto"/>
          <w:u w:val="none"/>
        </w:rPr>
        <w:t>-IPV-Hib vaccine changes to the National Immunisation Program schedule from 1 July 2023</w:t>
      </w:r>
    </w:p>
    <w:tbl>
      <w:tblPr>
        <w:tblStyle w:val="TableGrid"/>
        <w:tblW w:w="10545" w:type="dxa"/>
        <w:tblLook w:val="04A0" w:firstRow="1" w:lastRow="0" w:firstColumn="1" w:lastColumn="0" w:noHBand="0" w:noVBand="1"/>
      </w:tblPr>
      <w:tblGrid>
        <w:gridCol w:w="3466"/>
        <w:gridCol w:w="3322"/>
        <w:gridCol w:w="3757"/>
      </w:tblGrid>
      <w:tr w:rsidR="001E5E4A" w:rsidRPr="00D624A3" w14:paraId="5EF88453" w14:textId="77777777" w:rsidTr="00205DD8">
        <w:trPr>
          <w:trHeight w:val="623"/>
        </w:trPr>
        <w:tc>
          <w:tcPr>
            <w:tcW w:w="3466" w:type="dxa"/>
            <w:hideMark/>
          </w:tcPr>
          <w:p w14:paraId="1A03A5F5" w14:textId="4FE7C1F4" w:rsidR="001E5E4A" w:rsidRPr="00205DD8" w:rsidRDefault="001E5E4A" w:rsidP="002D6C6A">
            <w:pPr>
              <w:pStyle w:val="Tablecolhead"/>
              <w:rPr>
                <w:rFonts w:ascii="Segoe UI" w:hAnsi="Segoe UI" w:cs="Segoe UI"/>
                <w:b w:val="0"/>
                <w:bCs/>
                <w:color w:val="auto"/>
                <w:sz w:val="18"/>
                <w:szCs w:val="18"/>
                <w:lang w:eastAsia="en-AU"/>
              </w:rPr>
            </w:pPr>
            <w:r w:rsidRPr="00205DD8">
              <w:rPr>
                <w:color w:val="auto"/>
                <w:lang w:eastAsia="en-AU"/>
              </w:rPr>
              <w:t>NIP dosing schedule for (DTPa-H</w:t>
            </w:r>
            <w:r w:rsidR="009D0923" w:rsidRPr="00205DD8">
              <w:rPr>
                <w:color w:val="auto"/>
                <w:lang w:eastAsia="en-AU"/>
              </w:rPr>
              <w:t>epB</w:t>
            </w:r>
            <w:r w:rsidRPr="00205DD8">
              <w:rPr>
                <w:color w:val="auto"/>
                <w:lang w:eastAsia="en-AU"/>
              </w:rPr>
              <w:t>-IPV-Hib) vaccine:  </w:t>
            </w:r>
          </w:p>
        </w:tc>
        <w:tc>
          <w:tcPr>
            <w:tcW w:w="3322" w:type="dxa"/>
            <w:hideMark/>
          </w:tcPr>
          <w:p w14:paraId="1902703D" w14:textId="77777777" w:rsidR="001E5E4A" w:rsidRPr="00205DD8" w:rsidRDefault="001E5E4A" w:rsidP="002D6C6A">
            <w:pPr>
              <w:pStyle w:val="Tablecolhead"/>
              <w:rPr>
                <w:rFonts w:ascii="Segoe UI" w:hAnsi="Segoe UI" w:cs="Segoe UI"/>
                <w:b w:val="0"/>
                <w:bCs/>
                <w:color w:val="auto"/>
                <w:sz w:val="18"/>
                <w:szCs w:val="18"/>
                <w:lang w:eastAsia="en-AU"/>
              </w:rPr>
            </w:pPr>
            <w:r w:rsidRPr="00205DD8">
              <w:rPr>
                <w:color w:val="auto"/>
                <w:lang w:eastAsia="en-AU"/>
              </w:rPr>
              <w:t>Current brand option  </w:t>
            </w:r>
          </w:p>
          <w:p w14:paraId="0D988B89" w14:textId="77777777" w:rsidR="001E5E4A" w:rsidRPr="00205DD8" w:rsidRDefault="001E5E4A" w:rsidP="002D6C6A">
            <w:pPr>
              <w:pStyle w:val="Tablecolhead"/>
              <w:rPr>
                <w:rFonts w:ascii="Segoe UI" w:hAnsi="Segoe UI" w:cs="Segoe UI"/>
                <w:b w:val="0"/>
                <w:bCs/>
                <w:color w:val="auto"/>
                <w:sz w:val="18"/>
                <w:szCs w:val="18"/>
                <w:lang w:eastAsia="en-AU"/>
              </w:rPr>
            </w:pPr>
            <w:r w:rsidRPr="00205DD8">
              <w:rPr>
                <w:color w:val="auto"/>
                <w:lang w:eastAsia="en-AU"/>
              </w:rPr>
              <w:t>(up to 30 June 2023)  </w:t>
            </w:r>
          </w:p>
        </w:tc>
        <w:tc>
          <w:tcPr>
            <w:tcW w:w="3757" w:type="dxa"/>
            <w:hideMark/>
          </w:tcPr>
          <w:p w14:paraId="302DC32A" w14:textId="77777777" w:rsidR="001E5E4A" w:rsidRPr="00205DD8" w:rsidRDefault="001E5E4A" w:rsidP="002D6C6A">
            <w:pPr>
              <w:pStyle w:val="Tablecolhead"/>
              <w:rPr>
                <w:rFonts w:ascii="Segoe UI" w:hAnsi="Segoe UI" w:cs="Segoe UI"/>
                <w:b w:val="0"/>
                <w:bCs/>
                <w:color w:val="auto"/>
                <w:sz w:val="18"/>
                <w:szCs w:val="18"/>
                <w:lang w:eastAsia="en-AU"/>
              </w:rPr>
            </w:pPr>
            <w:r w:rsidRPr="00205DD8">
              <w:rPr>
                <w:color w:val="auto"/>
                <w:lang w:eastAsia="en-AU"/>
              </w:rPr>
              <w:t>New brand option/s   </w:t>
            </w:r>
          </w:p>
          <w:p w14:paraId="66A4E52B" w14:textId="25B000E7" w:rsidR="001E5E4A" w:rsidRPr="00205DD8" w:rsidRDefault="001E5E4A" w:rsidP="002D6C6A">
            <w:pPr>
              <w:pStyle w:val="Tablecolhead"/>
              <w:rPr>
                <w:rFonts w:ascii="Segoe UI" w:hAnsi="Segoe UI" w:cs="Segoe UI"/>
                <w:b w:val="0"/>
                <w:bCs/>
                <w:color w:val="auto"/>
                <w:sz w:val="18"/>
                <w:szCs w:val="18"/>
                <w:lang w:eastAsia="en-AU"/>
              </w:rPr>
            </w:pPr>
            <w:r w:rsidRPr="00205DD8">
              <w:rPr>
                <w:color w:val="auto"/>
                <w:lang w:eastAsia="en-AU"/>
              </w:rPr>
              <w:t>(</w:t>
            </w:r>
            <w:r w:rsidR="00205DD8">
              <w:rPr>
                <w:color w:val="auto"/>
                <w:lang w:eastAsia="en-AU"/>
              </w:rPr>
              <w:t>f</w:t>
            </w:r>
            <w:r w:rsidR="00205DD8" w:rsidRPr="00205DD8">
              <w:rPr>
                <w:color w:val="auto"/>
                <w:lang w:eastAsia="en-AU"/>
              </w:rPr>
              <w:t>rom</w:t>
            </w:r>
            <w:r w:rsidRPr="00205DD8">
              <w:rPr>
                <w:color w:val="auto"/>
                <w:lang w:eastAsia="en-AU"/>
              </w:rPr>
              <w:t xml:space="preserve"> 1 July 2023)  </w:t>
            </w:r>
          </w:p>
        </w:tc>
      </w:tr>
      <w:tr w:rsidR="001E5E4A" w:rsidRPr="00D624A3" w14:paraId="0AA08065" w14:textId="77777777" w:rsidTr="00205DD8">
        <w:trPr>
          <w:trHeight w:val="547"/>
        </w:trPr>
        <w:tc>
          <w:tcPr>
            <w:tcW w:w="3466" w:type="dxa"/>
            <w:hideMark/>
          </w:tcPr>
          <w:p w14:paraId="7EF95EF5" w14:textId="77777777" w:rsidR="001E5E4A" w:rsidRPr="00D624A3" w:rsidRDefault="001E5E4A" w:rsidP="002D6C6A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624A3">
              <w:rPr>
                <w:rFonts w:eastAsia="MS Gothic"/>
                <w:lang w:eastAsia="en-AU"/>
              </w:rPr>
              <w:t>Dose 1: </w:t>
            </w:r>
            <w:r w:rsidRPr="00D624A3">
              <w:rPr>
                <w:rFonts w:eastAsia="MS Mincho"/>
                <w:lang w:eastAsia="en-AU"/>
              </w:rPr>
              <w:t> </w:t>
            </w:r>
          </w:p>
          <w:p w14:paraId="3FBCD20B" w14:textId="77777777" w:rsidR="001E5E4A" w:rsidRPr="00D624A3" w:rsidRDefault="001E5E4A" w:rsidP="002D6C6A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624A3">
              <w:rPr>
                <w:rFonts w:eastAsia="MS Gothic"/>
                <w:lang w:eastAsia="en-AU"/>
              </w:rPr>
              <w:t>2 months (from 6 weeks of age) </w:t>
            </w:r>
            <w:r w:rsidRPr="00D624A3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322" w:type="dxa"/>
            <w:hideMark/>
          </w:tcPr>
          <w:p w14:paraId="49D2BF58" w14:textId="77777777" w:rsidR="001E5E4A" w:rsidRPr="000E54AF" w:rsidRDefault="001E5E4A" w:rsidP="00BD4A65">
            <w:pPr>
              <w:pStyle w:val="Tablebullet1"/>
              <w:numPr>
                <w:ilvl w:val="0"/>
                <w:numId w:val="0"/>
              </w:numPr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757" w:type="dxa"/>
            <w:hideMark/>
          </w:tcPr>
          <w:p w14:paraId="35037A85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  <w:p w14:paraId="61801B34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Vaxelis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</w:tr>
      <w:tr w:rsidR="001E5E4A" w:rsidRPr="00D624A3" w14:paraId="66A68980" w14:textId="77777777" w:rsidTr="00205DD8">
        <w:trPr>
          <w:trHeight w:val="547"/>
        </w:trPr>
        <w:tc>
          <w:tcPr>
            <w:tcW w:w="3466" w:type="dxa"/>
            <w:hideMark/>
          </w:tcPr>
          <w:p w14:paraId="4A6A68C0" w14:textId="77777777" w:rsidR="001E5E4A" w:rsidRPr="00D624A3" w:rsidRDefault="001E5E4A" w:rsidP="002D6C6A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624A3">
              <w:rPr>
                <w:rFonts w:eastAsia="MS Gothic"/>
                <w:lang w:eastAsia="en-AU"/>
              </w:rPr>
              <w:t>Dose 2: </w:t>
            </w:r>
            <w:r w:rsidRPr="00D624A3">
              <w:rPr>
                <w:rFonts w:eastAsia="MS Mincho"/>
                <w:lang w:eastAsia="en-AU"/>
              </w:rPr>
              <w:t> </w:t>
            </w:r>
          </w:p>
          <w:p w14:paraId="6F416138" w14:textId="77777777" w:rsidR="001E5E4A" w:rsidRPr="00D624A3" w:rsidRDefault="001E5E4A" w:rsidP="002D6C6A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624A3">
              <w:rPr>
                <w:rFonts w:eastAsia="MS Gothic"/>
                <w:lang w:eastAsia="en-AU"/>
              </w:rPr>
              <w:t>4 months </w:t>
            </w:r>
            <w:r w:rsidRPr="00D624A3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322" w:type="dxa"/>
            <w:hideMark/>
          </w:tcPr>
          <w:p w14:paraId="3A3B8885" w14:textId="77777777" w:rsidR="001E5E4A" w:rsidRPr="000E54AF" w:rsidRDefault="001E5E4A" w:rsidP="00BD4A65">
            <w:pPr>
              <w:pStyle w:val="Tablebullet1"/>
              <w:numPr>
                <w:ilvl w:val="0"/>
                <w:numId w:val="0"/>
              </w:numPr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757" w:type="dxa"/>
            <w:hideMark/>
          </w:tcPr>
          <w:p w14:paraId="18F134CE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  <w:p w14:paraId="7883782F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Vaxelis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 xml:space="preserve">® </w:t>
            </w:r>
            <w:r w:rsidRPr="000E54AF">
              <w:rPr>
                <w:rFonts w:eastAsia="MS Gothic"/>
                <w:lang w:eastAsia="en-AU"/>
              </w:rPr>
              <w:t>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</w:tr>
      <w:tr w:rsidR="001E5E4A" w:rsidRPr="00D624A3" w14:paraId="517301B7" w14:textId="77777777" w:rsidTr="00205DD8">
        <w:trPr>
          <w:trHeight w:val="547"/>
        </w:trPr>
        <w:tc>
          <w:tcPr>
            <w:tcW w:w="3466" w:type="dxa"/>
            <w:hideMark/>
          </w:tcPr>
          <w:p w14:paraId="1DF5D908" w14:textId="77777777" w:rsidR="001E5E4A" w:rsidRPr="00D624A3" w:rsidRDefault="001E5E4A" w:rsidP="002D6C6A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624A3">
              <w:rPr>
                <w:rFonts w:eastAsia="MS Gothic"/>
                <w:lang w:eastAsia="en-AU"/>
              </w:rPr>
              <w:t>Dose 3: </w:t>
            </w:r>
            <w:r w:rsidRPr="00D624A3">
              <w:rPr>
                <w:rFonts w:eastAsia="MS Mincho"/>
                <w:lang w:eastAsia="en-AU"/>
              </w:rPr>
              <w:t> </w:t>
            </w:r>
          </w:p>
          <w:p w14:paraId="7B93C019" w14:textId="77777777" w:rsidR="001E5E4A" w:rsidRPr="00D624A3" w:rsidRDefault="001E5E4A" w:rsidP="002D6C6A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624A3">
              <w:rPr>
                <w:rFonts w:eastAsia="MS Gothic"/>
                <w:lang w:eastAsia="en-AU"/>
              </w:rPr>
              <w:t>6 months </w:t>
            </w:r>
            <w:r w:rsidRPr="00D624A3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322" w:type="dxa"/>
            <w:hideMark/>
          </w:tcPr>
          <w:p w14:paraId="6E3D8820" w14:textId="77777777" w:rsidR="001E5E4A" w:rsidRPr="000E54AF" w:rsidRDefault="001E5E4A" w:rsidP="00BD4A65">
            <w:pPr>
              <w:pStyle w:val="Tablebullet1"/>
              <w:numPr>
                <w:ilvl w:val="0"/>
                <w:numId w:val="0"/>
              </w:numPr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757" w:type="dxa"/>
            <w:hideMark/>
          </w:tcPr>
          <w:p w14:paraId="499C1601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  <w:p w14:paraId="0405113D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Vaxelis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 xml:space="preserve">® </w:t>
            </w:r>
            <w:r w:rsidRPr="000E54AF">
              <w:rPr>
                <w:rFonts w:eastAsia="MS Gothic"/>
                <w:lang w:eastAsia="en-AU"/>
              </w:rPr>
              <w:t>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</w:tr>
      <w:tr w:rsidR="001E5E4A" w:rsidRPr="00D624A3" w14:paraId="3E74C28E" w14:textId="77777777" w:rsidTr="00205DD8">
        <w:trPr>
          <w:trHeight w:val="547"/>
        </w:trPr>
        <w:tc>
          <w:tcPr>
            <w:tcW w:w="3466" w:type="dxa"/>
            <w:hideMark/>
          </w:tcPr>
          <w:p w14:paraId="441597EE" w14:textId="68F6D094" w:rsidR="001E5E4A" w:rsidRPr="00D624A3" w:rsidRDefault="001E5E4A" w:rsidP="002D6C6A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624A3">
              <w:rPr>
                <w:rFonts w:eastAsia="MS Gothic"/>
                <w:lang w:eastAsia="en-AU"/>
              </w:rPr>
              <w:t xml:space="preserve">Under 10 years (catch </w:t>
            </w:r>
            <w:r w:rsidR="00D705EC" w:rsidRPr="00D624A3">
              <w:rPr>
                <w:lang w:eastAsia="en-AU"/>
              </w:rPr>
              <w:t>up)</w:t>
            </w:r>
            <w:r w:rsidR="00D705EC">
              <w:rPr>
                <w:lang w:eastAsia="en-AU"/>
              </w:rPr>
              <w:t xml:space="preserve"> *</w:t>
            </w:r>
            <w:r w:rsidRPr="00D624A3">
              <w:rPr>
                <w:rFonts w:eastAsia="MS Gothic"/>
                <w:lang w:eastAsia="en-AU"/>
              </w:rPr>
              <w:t> </w:t>
            </w:r>
            <w:r w:rsidRPr="00D624A3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322" w:type="dxa"/>
            <w:hideMark/>
          </w:tcPr>
          <w:p w14:paraId="0B72661F" w14:textId="77777777" w:rsidR="001E5E4A" w:rsidRPr="000E54AF" w:rsidRDefault="001E5E4A" w:rsidP="00BD4A65">
            <w:pPr>
              <w:pStyle w:val="Tablebullet1"/>
              <w:numPr>
                <w:ilvl w:val="0"/>
                <w:numId w:val="0"/>
              </w:numPr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  <w:tc>
          <w:tcPr>
            <w:tcW w:w="3757" w:type="dxa"/>
            <w:hideMark/>
          </w:tcPr>
          <w:p w14:paraId="3EC472E0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Infanrix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>®</w:t>
            </w:r>
            <w:r w:rsidRPr="000E54AF">
              <w:rPr>
                <w:rFonts w:eastAsia="MS Gothic"/>
                <w:lang w:eastAsia="en-AU"/>
              </w:rPr>
              <w:t xml:space="preserve"> hexa 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  <w:p w14:paraId="1177DD62" w14:textId="77777777" w:rsidR="001E5E4A" w:rsidRPr="000E54AF" w:rsidRDefault="001E5E4A" w:rsidP="002D6C6A">
            <w:pPr>
              <w:pStyle w:val="Tablebullet1"/>
              <w:rPr>
                <w:lang w:eastAsia="en-AU"/>
              </w:rPr>
            </w:pPr>
            <w:r w:rsidRPr="000E54AF">
              <w:rPr>
                <w:rFonts w:eastAsia="MS Gothic"/>
                <w:lang w:eastAsia="en-AU"/>
              </w:rPr>
              <w:t>Vaxelis</w:t>
            </w:r>
            <w:r w:rsidRPr="000E54AF">
              <w:rPr>
                <w:rFonts w:eastAsia="MS Gothic"/>
                <w:sz w:val="16"/>
                <w:szCs w:val="16"/>
                <w:vertAlign w:val="superscript"/>
                <w:lang w:eastAsia="en-AU"/>
              </w:rPr>
              <w:t xml:space="preserve">® </w:t>
            </w:r>
            <w:r w:rsidRPr="000E54AF">
              <w:rPr>
                <w:rFonts w:eastAsia="MS Gothic"/>
                <w:lang w:eastAsia="en-AU"/>
              </w:rPr>
              <w:t>(0.5mL) </w:t>
            </w:r>
            <w:r w:rsidRPr="000E54AF">
              <w:rPr>
                <w:rFonts w:eastAsia="MS Mincho"/>
                <w:lang w:eastAsia="en-AU"/>
              </w:rPr>
              <w:t> </w:t>
            </w:r>
          </w:p>
        </w:tc>
      </w:tr>
      <w:tr w:rsidR="001E5E4A" w:rsidRPr="00D624A3" w14:paraId="03EA83C8" w14:textId="77777777" w:rsidTr="00205DD8">
        <w:trPr>
          <w:trHeight w:val="456"/>
        </w:trPr>
        <w:tc>
          <w:tcPr>
            <w:tcW w:w="10545" w:type="dxa"/>
            <w:gridSpan w:val="3"/>
            <w:hideMark/>
          </w:tcPr>
          <w:p w14:paraId="2058A624" w14:textId="1C730F3A" w:rsidR="001E5E4A" w:rsidRPr="008E4577" w:rsidRDefault="00D705EC" w:rsidP="240D9216">
            <w:pPr>
              <w:pStyle w:val="Tabletext"/>
              <w:rPr>
                <w:rFonts w:ascii="Segoe UI" w:hAnsi="Segoe UI" w:cs="Segoe UI"/>
                <w:b/>
                <w:bCs/>
                <w:sz w:val="20"/>
                <w:lang w:eastAsia="en-AU"/>
              </w:rPr>
            </w:pPr>
            <w:r w:rsidRPr="008E4577">
              <w:rPr>
                <w:sz w:val="20"/>
                <w:lang w:eastAsia="en-AU"/>
              </w:rPr>
              <w:t>*</w:t>
            </w:r>
            <w:r w:rsidR="001E5E4A" w:rsidRPr="008E4577">
              <w:rPr>
                <w:rFonts w:eastAsia="MS Gothic"/>
                <w:sz w:val="20"/>
                <w:lang w:eastAsia="en-AU"/>
              </w:rPr>
              <w:t xml:space="preserve">In children aged &lt;10 years, the number of doses administered is influenced by the age at which they start catch-up vaccination, the number of doses needed, and the minimum intervals between doses according to the </w:t>
            </w:r>
            <w:hyperlink r:id="rId19" w:history="1">
              <w:r w:rsidR="001E5E4A" w:rsidRPr="008E4577">
                <w:rPr>
                  <w:rStyle w:val="Hyperlink"/>
                  <w:rFonts w:cs="Arial"/>
                  <w:b/>
                  <w:bCs/>
                  <w:sz w:val="20"/>
                  <w:lang w:eastAsia="en-AU"/>
                </w:rPr>
                <w:t>Australian Immunisation Handbook.  </w:t>
              </w:r>
            </w:hyperlink>
          </w:p>
        </w:tc>
      </w:tr>
    </w:tbl>
    <w:p w14:paraId="3B5458C8" w14:textId="7D6D3E1F" w:rsidR="006812C5" w:rsidRPr="002D2702" w:rsidRDefault="006812C5" w:rsidP="00FD5AE3">
      <w:pPr>
        <w:pStyle w:val="Heading2"/>
        <w:spacing w:after="120"/>
        <w:rPr>
          <w:rStyle w:val="normaltextrun"/>
          <w:rFonts w:eastAsia="MS Gothic"/>
          <w:color w:val="auto"/>
        </w:rPr>
      </w:pPr>
      <w:r w:rsidRPr="002D2702">
        <w:rPr>
          <w:rStyle w:val="normaltextrun"/>
          <w:rFonts w:eastAsia="MS Gothic"/>
          <w:color w:val="auto"/>
        </w:rPr>
        <w:t>Vaxelis</w:t>
      </w:r>
      <w:r w:rsidRPr="002D2702">
        <w:rPr>
          <w:color w:val="auto"/>
        </w:rPr>
        <w:t xml:space="preserve">® </w:t>
      </w:r>
      <w:r w:rsidR="00D53E3B">
        <w:rPr>
          <w:color w:val="auto"/>
        </w:rPr>
        <w:t>administration</w:t>
      </w:r>
    </w:p>
    <w:p w14:paraId="4E496949" w14:textId="08B01A9D" w:rsidR="00411EE8" w:rsidRPr="00692FD2" w:rsidRDefault="00836670" w:rsidP="00AC2B6D">
      <w:pPr>
        <w:pStyle w:val="Body"/>
        <w:rPr>
          <w:rFonts w:cs="Arial"/>
        </w:rPr>
      </w:pPr>
      <w:r w:rsidRPr="00C85E24">
        <w:t xml:space="preserve">Vaxelis® vaccine is </w:t>
      </w:r>
      <w:r w:rsidR="00C85E24" w:rsidRPr="240D9216">
        <w:rPr>
          <w:rFonts w:cs="Arial"/>
        </w:rPr>
        <w:t>administered as an intramuscular (IM)</w:t>
      </w:r>
      <w:r w:rsidR="00170340" w:rsidRPr="240D9216">
        <w:rPr>
          <w:rFonts w:cs="Arial"/>
        </w:rPr>
        <w:t xml:space="preserve"> </w:t>
      </w:r>
      <w:r w:rsidR="00411EE8" w:rsidRPr="240D9216">
        <w:rPr>
          <w:rFonts w:cs="Arial"/>
        </w:rPr>
        <w:t xml:space="preserve">injection. </w:t>
      </w:r>
      <w:r w:rsidR="00692FD2" w:rsidRPr="007645EE">
        <w:rPr>
          <w:rFonts w:cs="Arial"/>
        </w:rPr>
        <w:t xml:space="preserve">The </w:t>
      </w:r>
      <w:hyperlink r:id="rId20" w:history="1">
        <w:r w:rsidR="00692FD2" w:rsidRPr="004110F0">
          <w:rPr>
            <w:rStyle w:val="Hyperlink"/>
            <w:rFonts w:eastAsiaTheme="minorHAnsi"/>
            <w:szCs w:val="21"/>
            <w:lang w:eastAsia="en-AU"/>
          </w:rPr>
          <w:t>recommended injection sites</w:t>
        </w:r>
      </w:hyperlink>
      <w:r w:rsidR="00692FD2" w:rsidRPr="007645EE">
        <w:rPr>
          <w:rFonts w:cs="Arial"/>
        </w:rPr>
        <w:t xml:space="preserve"> are the anterolateral area of the thigh (preferred site for infants under one year of age) or the deltoid muscle of the upper arm.</w:t>
      </w:r>
    </w:p>
    <w:p w14:paraId="600C22AF" w14:textId="574E2FB9" w:rsidR="00A82DED" w:rsidRPr="00FD5AE3" w:rsidRDefault="00A82DED" w:rsidP="00FD5AE3">
      <w:pPr>
        <w:pStyle w:val="Heading2"/>
        <w:spacing w:after="120"/>
        <w:rPr>
          <w:rFonts w:eastAsia="MS Gothic"/>
          <w:sz w:val="24"/>
          <w:szCs w:val="24"/>
          <w:lang w:val="en-US"/>
        </w:rPr>
      </w:pPr>
      <w:r w:rsidRPr="240D9216">
        <w:rPr>
          <w:sz w:val="24"/>
          <w:szCs w:val="24"/>
          <w:lang w:val="en-US"/>
        </w:rPr>
        <w:t>Vaxelis</w:t>
      </w:r>
      <w:r w:rsidRPr="00FD5AE3">
        <w:rPr>
          <w:sz w:val="24"/>
          <w:szCs w:val="24"/>
          <w:lang w:val="en-US"/>
        </w:rPr>
        <w:t xml:space="preserve">® </w:t>
      </w:r>
      <w:r w:rsidR="00616A0D" w:rsidRPr="00FD5AE3">
        <w:rPr>
          <w:sz w:val="24"/>
          <w:szCs w:val="24"/>
          <w:lang w:val="en-US"/>
        </w:rPr>
        <w:t>preparation</w:t>
      </w:r>
      <w:r w:rsidRPr="00FD5AE3">
        <w:rPr>
          <w:rFonts w:eastAsia="MS Gothic"/>
          <w:sz w:val="24"/>
          <w:szCs w:val="24"/>
          <w:lang w:val="en-US"/>
        </w:rPr>
        <w:t xml:space="preserve"> </w:t>
      </w:r>
    </w:p>
    <w:p w14:paraId="4907F05E" w14:textId="1B4BAAC6" w:rsidR="009E1815" w:rsidRPr="00DB2D36" w:rsidRDefault="009E1815" w:rsidP="002D6C6A">
      <w:pPr>
        <w:pStyle w:val="Body"/>
        <w:rPr>
          <w:rFonts w:cs="Arial"/>
          <w:szCs w:val="21"/>
        </w:rPr>
      </w:pPr>
      <w:r w:rsidRPr="00DB2D36">
        <w:rPr>
          <w:rStyle w:val="normaltextrun"/>
          <w:rFonts w:eastAsia="MS Mincho" w:cs="Arial"/>
          <w:szCs w:val="21"/>
        </w:rPr>
        <w:t>The preparation of Vaxelis® and Infanrix® hexa differs: </w:t>
      </w:r>
      <w:r w:rsidRPr="00DB2D36">
        <w:rPr>
          <w:rStyle w:val="eop"/>
          <w:rFonts w:cs="Arial"/>
          <w:szCs w:val="21"/>
        </w:rPr>
        <w:t> 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EB016E" w14:paraId="5FBDD23D" w14:textId="77777777" w:rsidTr="00DB66A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1253" w14:textId="77777777" w:rsidR="00DB66AC" w:rsidRPr="00DB66AC" w:rsidRDefault="00DB66AC" w:rsidP="00FF56C7">
            <w:pPr>
              <w:pStyle w:val="Tablecolhead"/>
              <w:spacing w:before="40" w:after="40"/>
              <w:rPr>
                <w:sz w:val="10"/>
                <w:szCs w:val="10"/>
              </w:rPr>
            </w:pPr>
          </w:p>
          <w:p w14:paraId="5AB81CE7" w14:textId="397F1B59" w:rsidR="00EB016E" w:rsidRDefault="00DB66AC" w:rsidP="00FF56C7">
            <w:pPr>
              <w:pStyle w:val="Tablecolhead"/>
              <w:spacing w:before="40" w:after="40"/>
            </w:pPr>
            <w:r>
              <w:t xml:space="preserve">   </w:t>
            </w:r>
            <w:r w:rsidR="00EB016E" w:rsidRPr="00174775">
              <w:t>Infanrix</w:t>
            </w:r>
            <w:r w:rsidR="004110F0" w:rsidRPr="00174775">
              <w:t>®</w:t>
            </w:r>
            <w:r w:rsidR="00EB016E" w:rsidRPr="00174775">
              <w:t xml:space="preserve"> hexa</w:t>
            </w:r>
          </w:p>
          <w:p w14:paraId="10159925" w14:textId="06252990" w:rsidR="00DB66AC" w:rsidRPr="00DB66AC" w:rsidRDefault="00DB66AC" w:rsidP="00FF56C7">
            <w:pPr>
              <w:pStyle w:val="Tablecolhead"/>
              <w:spacing w:before="40" w:after="40"/>
              <w:rPr>
                <w:sz w:val="10"/>
                <w:szCs w:val="1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739" w14:textId="77777777" w:rsidR="00DB66AC" w:rsidRPr="00DB66AC" w:rsidRDefault="00DB66AC" w:rsidP="00FF56C7">
            <w:pPr>
              <w:pStyle w:val="Tablecolhead"/>
              <w:spacing w:before="40" w:after="40"/>
              <w:rPr>
                <w:sz w:val="10"/>
                <w:szCs w:val="10"/>
              </w:rPr>
            </w:pPr>
          </w:p>
          <w:p w14:paraId="3BC3CB63" w14:textId="16288ADB" w:rsidR="00EB016E" w:rsidRDefault="00DB66AC" w:rsidP="00DB66AC">
            <w:pPr>
              <w:pStyle w:val="Tablecolhead"/>
              <w:spacing w:before="40" w:after="40"/>
            </w:pPr>
            <w:r>
              <w:t xml:space="preserve">   </w:t>
            </w:r>
            <w:r w:rsidR="00EB016E" w:rsidRPr="00174775">
              <w:t>Vaxelis®</w:t>
            </w:r>
          </w:p>
          <w:p w14:paraId="27A0D2A5" w14:textId="260F8090" w:rsidR="00DB66AC" w:rsidRPr="00DB66AC" w:rsidRDefault="00DB66AC" w:rsidP="00FF56C7">
            <w:pPr>
              <w:pStyle w:val="Tablecolhead"/>
              <w:spacing w:before="40" w:after="40"/>
              <w:rPr>
                <w:sz w:val="10"/>
                <w:szCs w:val="10"/>
              </w:rPr>
            </w:pPr>
          </w:p>
        </w:tc>
      </w:tr>
      <w:tr w:rsidR="00EB016E" w14:paraId="1C132DB7" w14:textId="77777777" w:rsidTr="00BF3623"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108610A8" w14:textId="3EBC5C31" w:rsidR="00EB016E" w:rsidRPr="005C5268" w:rsidRDefault="218937C6" w:rsidP="3B552E50">
            <w:pPr>
              <w:jc w:val="center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4C591AA" wp14:editId="3377EC83">
                  <wp:extent cx="2783898" cy="1272021"/>
                  <wp:effectExtent l="0" t="0" r="0" b="0"/>
                  <wp:docPr id="1498685978" name="Picture 1498685978" descr="Infanrix hexa vacc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85978" name="Picture 1498685978" descr="Infanrix hexa vaccin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98" cy="1272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8167E" w14:textId="77777777" w:rsidR="00E174E4" w:rsidRPr="00FB7E62" w:rsidRDefault="00940527" w:rsidP="00940527">
            <w:pPr>
              <w:pStyle w:val="Tablebullet1"/>
              <w:rPr>
                <w:rStyle w:val="normaltextrun"/>
              </w:rPr>
            </w:pPr>
            <w:r w:rsidRPr="00FB7E62">
              <w:rPr>
                <w:rStyle w:val="normaltextrun"/>
                <w:rFonts w:eastAsia="MS Mincho" w:cs="Arial"/>
                <w:szCs w:val="21"/>
              </w:rPr>
              <w:t>Supplied as</w:t>
            </w:r>
            <w:r w:rsidR="00226FC6" w:rsidRPr="00FB7E62">
              <w:rPr>
                <w:rStyle w:val="normaltextrun"/>
                <w:rFonts w:eastAsia="MS Mincho" w:cs="Arial"/>
                <w:szCs w:val="21"/>
              </w:rPr>
              <w:t xml:space="preserve"> a single dose 0.5 mL pre-filled syringe</w:t>
            </w:r>
            <w:r w:rsidRPr="00FB7E62">
              <w:rPr>
                <w:rStyle w:val="normaltextrun"/>
                <w:rFonts w:eastAsia="MS Mincho" w:cs="Arial"/>
                <w:szCs w:val="21"/>
              </w:rPr>
              <w:t xml:space="preserve"> </w:t>
            </w:r>
          </w:p>
          <w:p w14:paraId="18FF24BD" w14:textId="0931CDF1" w:rsidR="00226FC6" w:rsidRPr="00FB7E62" w:rsidRDefault="00E174E4" w:rsidP="005C5268">
            <w:pPr>
              <w:pStyle w:val="Tablebullet1"/>
              <w:rPr>
                <w:rStyle w:val="normaltextrun"/>
              </w:rPr>
            </w:pPr>
            <w:r w:rsidRPr="00FB7E62">
              <w:rPr>
                <w:rStyle w:val="normaltextrun"/>
                <w:rFonts w:eastAsia="MS Mincho" w:cs="Arial"/>
                <w:szCs w:val="21"/>
              </w:rPr>
              <w:t>Prefilled syring</w:t>
            </w:r>
            <w:r w:rsidR="00786799">
              <w:rPr>
                <w:rStyle w:val="normaltextrun"/>
                <w:rFonts w:eastAsia="MS Mincho" w:cs="Arial"/>
                <w:szCs w:val="21"/>
              </w:rPr>
              <w:t>e</w:t>
            </w:r>
            <w:r w:rsidRPr="00FB7E62">
              <w:rPr>
                <w:rStyle w:val="normaltextrun"/>
                <w:rFonts w:eastAsia="MS Mincho" w:cs="Arial"/>
                <w:szCs w:val="21"/>
              </w:rPr>
              <w:t xml:space="preserve"> of </w:t>
            </w:r>
            <w:r w:rsidR="00940527" w:rsidRPr="00FB7E62">
              <w:t>DTPa-hepB-IPV</w:t>
            </w:r>
            <w:r w:rsidR="00226FC6" w:rsidRPr="00FB7E62">
              <w:rPr>
                <w:rStyle w:val="normaltextrun"/>
                <w:rFonts w:eastAsia="MS Mincho" w:cs="Arial"/>
                <w:szCs w:val="21"/>
              </w:rPr>
              <w:t xml:space="preserve"> </w:t>
            </w:r>
            <w:r w:rsidR="00226FC6" w:rsidRPr="00FB7E62">
              <w:rPr>
                <w:rStyle w:val="normaltextrun"/>
                <w:rFonts w:eastAsia="MS Mincho" w:cs="Arial"/>
                <w:b/>
                <w:bCs/>
                <w:szCs w:val="21"/>
              </w:rPr>
              <w:t>and</w:t>
            </w:r>
            <w:r w:rsidR="00226FC6" w:rsidRPr="00FB7E62">
              <w:rPr>
                <w:rStyle w:val="normaltextrun"/>
                <w:rFonts w:eastAsia="MS Mincho" w:cs="Arial"/>
                <w:szCs w:val="21"/>
              </w:rPr>
              <w:t xml:space="preserve"> a vial containing a lyophilised pellet. </w:t>
            </w:r>
          </w:p>
          <w:p w14:paraId="7CE15E1E" w14:textId="77777777" w:rsidR="00EB016E" w:rsidRPr="00FB7E62" w:rsidRDefault="00EB016E" w:rsidP="005C5268">
            <w:pPr>
              <w:pStyle w:val="Tablebullet1"/>
            </w:pPr>
            <w:r w:rsidRPr="00FB7E62">
              <w:t>Vial contains Haemophilus influenzae type b</w:t>
            </w:r>
          </w:p>
          <w:p w14:paraId="6CE48EEC" w14:textId="24AB2CCE" w:rsidR="00EB016E" w:rsidRPr="00786799" w:rsidRDefault="00EB016E" w:rsidP="005C5268">
            <w:pPr>
              <w:pStyle w:val="Tablebullet1"/>
              <w:rPr>
                <w:b/>
              </w:rPr>
            </w:pPr>
            <w:r w:rsidRPr="00786799">
              <w:rPr>
                <w:b/>
              </w:rPr>
              <w:t>Reconstitution required</w:t>
            </w:r>
          </w:p>
          <w:p w14:paraId="174BE567" w14:textId="77777777" w:rsidR="00EB016E" w:rsidRPr="00FB7E62" w:rsidRDefault="00EB016E" w:rsidP="005C5268">
            <w:pPr>
              <w:pStyle w:val="Tablebullet1"/>
            </w:pPr>
            <w:r w:rsidRPr="00FB7E62">
              <w:t>Light sensitive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5AC6906" w14:textId="573969E4" w:rsidR="00EB016E" w:rsidRDefault="006F3AE1" w:rsidP="3B552E5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50A0308F" wp14:editId="31837120">
                  <wp:extent cx="2548170" cy="1006620"/>
                  <wp:effectExtent l="0" t="0" r="508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055" cy="103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BCD508" w14:textId="77777777" w:rsidR="006F3AE1" w:rsidRPr="00FB7E62" w:rsidRDefault="006F3AE1" w:rsidP="006F3AE1">
            <w:pPr>
              <w:rPr>
                <w:szCs w:val="21"/>
              </w:rPr>
            </w:pPr>
          </w:p>
          <w:p w14:paraId="774109DB" w14:textId="492562DD" w:rsidR="00B17968" w:rsidRPr="00FB7E62" w:rsidRDefault="00226FC6" w:rsidP="001861F7">
            <w:pPr>
              <w:pStyle w:val="Tablebullet1"/>
            </w:pPr>
            <w:r w:rsidRPr="00FB7E62">
              <w:rPr>
                <w:rStyle w:val="normaltextrun"/>
                <w:rFonts w:eastAsia="MS Mincho" w:cs="Arial"/>
              </w:rPr>
              <w:t>S</w:t>
            </w:r>
            <w:r w:rsidR="00B17968" w:rsidRPr="00FB7E62">
              <w:rPr>
                <w:rStyle w:val="normaltextrun"/>
                <w:rFonts w:eastAsia="MS Mincho" w:cs="Arial"/>
              </w:rPr>
              <w:t>upplied as a single dose 0.5mL pre-filled syringe</w:t>
            </w:r>
            <w:r w:rsidR="00B17968" w:rsidRPr="00FB7E62">
              <w:rPr>
                <w:rFonts w:cs="Arial"/>
              </w:rPr>
              <w:t xml:space="preserve"> with a luer lock connection</w:t>
            </w:r>
            <w:r w:rsidR="00B17968" w:rsidRPr="00FB7E62">
              <w:t xml:space="preserve"> </w:t>
            </w:r>
          </w:p>
          <w:p w14:paraId="5245E564" w14:textId="46F5E2AB" w:rsidR="00EB016E" w:rsidRPr="00FB7E62" w:rsidRDefault="00EB016E" w:rsidP="005C5268">
            <w:pPr>
              <w:pStyle w:val="Tablebullet1"/>
            </w:pPr>
            <w:r w:rsidRPr="00FB7E62">
              <w:t>Prefilled syringe of DTPa-hepB-IPV-Hib</w:t>
            </w:r>
          </w:p>
          <w:p w14:paraId="5E7E21D7" w14:textId="77777777" w:rsidR="00EB016E" w:rsidRPr="00FB7E62" w:rsidRDefault="00EB016E" w:rsidP="005C5268">
            <w:pPr>
              <w:pStyle w:val="Tablebullet1"/>
              <w:rPr>
                <w:b/>
              </w:rPr>
            </w:pPr>
            <w:r w:rsidRPr="00FB7E62">
              <w:t xml:space="preserve">Reconstitution </w:t>
            </w:r>
            <w:r w:rsidRPr="00FB7E62">
              <w:rPr>
                <w:b/>
              </w:rPr>
              <w:t xml:space="preserve">not </w:t>
            </w:r>
            <w:r w:rsidRPr="00FB7E62">
              <w:t>required</w:t>
            </w:r>
          </w:p>
          <w:p w14:paraId="27E52041" w14:textId="77777777" w:rsidR="00EB016E" w:rsidRPr="00FB7E62" w:rsidRDefault="00EB016E" w:rsidP="005C5268">
            <w:pPr>
              <w:pStyle w:val="Tablebullet1"/>
            </w:pPr>
            <w:r w:rsidRPr="00FB7E62">
              <w:t>Light sensitive</w:t>
            </w:r>
          </w:p>
        </w:tc>
      </w:tr>
    </w:tbl>
    <w:p w14:paraId="0265CBFB" w14:textId="77777777" w:rsidR="0091749E" w:rsidRDefault="0091749E" w:rsidP="00D51EB7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5E131CFC" w14:textId="53430670" w:rsidR="00D51EB7" w:rsidRPr="00D51EB7" w:rsidRDefault="00D51EB7" w:rsidP="00D51EB7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51EB7">
        <w:rPr>
          <w:rFonts w:ascii="Arial" w:hAnsi="Arial" w:cs="Arial"/>
          <w:sz w:val="21"/>
          <w:szCs w:val="21"/>
        </w:rPr>
        <w:t xml:space="preserve">Always check that vaccines are prepared and administered appropriately in accordance with </w:t>
      </w:r>
      <w:hyperlink r:id="rId23" w:history="1">
        <w:r w:rsidRPr="005571F5">
          <w:rPr>
            <w:rStyle w:val="Hyperlink"/>
            <w:rFonts w:ascii="Arial" w:hAnsi="Arial" w:cs="Arial"/>
            <w:sz w:val="21"/>
            <w:szCs w:val="21"/>
          </w:rPr>
          <w:t>product instructions</w:t>
        </w:r>
      </w:hyperlink>
      <w:r w:rsidRPr="00D51EB7">
        <w:rPr>
          <w:rFonts w:ascii="Arial" w:hAnsi="Arial" w:cs="Arial"/>
          <w:sz w:val="21"/>
          <w:szCs w:val="21"/>
        </w:rPr>
        <w:t xml:space="preserve"> and official recommendations. Refer to the </w:t>
      </w:r>
      <w:hyperlink r:id="rId24" w:history="1">
        <w:r w:rsidRPr="00D51EB7">
          <w:rPr>
            <w:rStyle w:val="Hyperlink"/>
            <w:rFonts w:ascii="Arial" w:hAnsi="Arial" w:cs="Arial"/>
            <w:sz w:val="21"/>
            <w:szCs w:val="21"/>
          </w:rPr>
          <w:t>Australian Immunisation Handbook</w:t>
        </w:r>
      </w:hyperlink>
      <w:r w:rsidRPr="00D51EB7">
        <w:rPr>
          <w:rFonts w:ascii="Arial" w:hAnsi="Arial" w:cs="Arial"/>
          <w:sz w:val="21"/>
          <w:szCs w:val="21"/>
        </w:rPr>
        <w:t xml:space="preserve"> for advice.</w:t>
      </w:r>
    </w:p>
    <w:p w14:paraId="3C52AF89" w14:textId="5C48F49B" w:rsidR="00D82183" w:rsidRDefault="000B0C57" w:rsidP="00FD5AE3">
      <w:pPr>
        <w:pStyle w:val="Heading2"/>
        <w:spacing w:after="120"/>
        <w:rPr>
          <w:sz w:val="24"/>
          <w:szCs w:val="24"/>
          <w:lang w:val="en-GB"/>
        </w:rPr>
      </w:pPr>
      <w:r w:rsidRPr="240D9216">
        <w:rPr>
          <w:sz w:val="24"/>
          <w:szCs w:val="24"/>
          <w:lang w:val="en-GB"/>
        </w:rPr>
        <w:lastRenderedPageBreak/>
        <w:t>Vaxelis</w:t>
      </w:r>
      <w:r w:rsidR="00411EE8" w:rsidRPr="00F74517">
        <w:rPr>
          <w:b w:val="0"/>
          <w:bCs/>
        </w:rPr>
        <w:t>®</w:t>
      </w:r>
      <w:r w:rsidRPr="240D9216">
        <w:rPr>
          <w:sz w:val="24"/>
          <w:szCs w:val="24"/>
          <w:lang w:val="en-GB"/>
        </w:rPr>
        <w:t xml:space="preserve"> </w:t>
      </w:r>
      <w:r w:rsidR="00616A0D" w:rsidRPr="240D9216">
        <w:rPr>
          <w:sz w:val="24"/>
          <w:szCs w:val="24"/>
          <w:lang w:val="en-GB"/>
        </w:rPr>
        <w:t xml:space="preserve">&amp; </w:t>
      </w:r>
      <w:r w:rsidRPr="240D9216">
        <w:rPr>
          <w:sz w:val="24"/>
          <w:szCs w:val="24"/>
          <w:lang w:val="en-GB"/>
        </w:rPr>
        <w:t>Infanrix</w:t>
      </w:r>
      <w:r w:rsidR="00D705EC" w:rsidRPr="00F74517">
        <w:rPr>
          <w:b w:val="0"/>
          <w:bCs/>
        </w:rPr>
        <w:t>®</w:t>
      </w:r>
      <w:r w:rsidR="004E6D5B">
        <w:rPr>
          <w:b w:val="0"/>
          <w:bCs/>
        </w:rPr>
        <w:t xml:space="preserve"> </w:t>
      </w:r>
      <w:r w:rsidR="00BB6A43" w:rsidRPr="240D9216">
        <w:rPr>
          <w:sz w:val="24"/>
          <w:szCs w:val="24"/>
          <w:lang w:val="en-GB"/>
        </w:rPr>
        <w:t>h</w:t>
      </w:r>
      <w:r w:rsidRPr="240D9216">
        <w:rPr>
          <w:sz w:val="24"/>
          <w:szCs w:val="24"/>
          <w:lang w:val="en-GB"/>
        </w:rPr>
        <w:t>exa</w:t>
      </w:r>
      <w:r w:rsidR="00C01A5C" w:rsidRPr="240D9216">
        <w:rPr>
          <w:sz w:val="24"/>
          <w:szCs w:val="24"/>
          <w:lang w:val="en-GB"/>
        </w:rPr>
        <w:t xml:space="preserve"> </w:t>
      </w:r>
      <w:r w:rsidR="655B96AB" w:rsidRPr="240D9216">
        <w:rPr>
          <w:sz w:val="24"/>
          <w:szCs w:val="24"/>
          <w:lang w:val="en-GB"/>
        </w:rPr>
        <w:t>interchangeability</w:t>
      </w:r>
    </w:p>
    <w:p w14:paraId="6FC642AD" w14:textId="71C53D77" w:rsidR="00B14D01" w:rsidRPr="002D6C6A" w:rsidRDefault="00D17C8A" w:rsidP="002D6C6A">
      <w:pPr>
        <w:pStyle w:val="Body"/>
      </w:pPr>
      <w:r>
        <w:t xml:space="preserve">A primary </w:t>
      </w:r>
      <w:r w:rsidR="00367B9F">
        <w:t>course</w:t>
      </w:r>
      <w:r>
        <w:t xml:space="preserve"> of DTPa-hepB-IPV-Hib vaccination should be given using the same vaccine </w:t>
      </w:r>
      <w:r w:rsidR="006C57AE">
        <w:t xml:space="preserve">brand </w:t>
      </w:r>
      <w:r>
        <w:t>(e.g</w:t>
      </w:r>
      <w:r w:rsidR="00367B9F">
        <w:t>.,</w:t>
      </w:r>
      <w:r>
        <w:t xml:space="preserve"> three doses of Vaxelis® or three doses of Infanrix® hexa). If this is not possible, providers may use the alternative brand to complete the </w:t>
      </w:r>
      <w:r w:rsidR="00367B9F">
        <w:t>vaccine course</w:t>
      </w:r>
      <w:r>
        <w:t>. </w:t>
      </w:r>
    </w:p>
    <w:p w14:paraId="4839798F" w14:textId="09AB88F5" w:rsidR="00D17C8A" w:rsidRDefault="00D26B20" w:rsidP="002D6C6A">
      <w:pPr>
        <w:pStyle w:val="Body"/>
        <w:rPr>
          <w:szCs w:val="21"/>
        </w:rPr>
      </w:pPr>
      <w:r w:rsidRPr="002D6C6A">
        <w:rPr>
          <w:rStyle w:val="normaltextrun"/>
        </w:rPr>
        <w:t>Prior to administration</w:t>
      </w:r>
      <w:r w:rsidR="00030BAB" w:rsidRPr="002D6C6A">
        <w:rPr>
          <w:rStyle w:val="normaltextrun"/>
        </w:rPr>
        <w:t xml:space="preserve">, </w:t>
      </w:r>
      <w:r w:rsidR="00B32DDF" w:rsidRPr="002D6C6A">
        <w:rPr>
          <w:rStyle w:val="normaltextrun"/>
        </w:rPr>
        <w:t>immunis</w:t>
      </w:r>
      <w:r w:rsidR="00B14D01" w:rsidRPr="002D6C6A">
        <w:rPr>
          <w:rStyle w:val="normaltextrun"/>
        </w:rPr>
        <w:t xml:space="preserve">ation providers </w:t>
      </w:r>
      <w:r w:rsidR="00B127ED" w:rsidRPr="002D6C6A">
        <w:rPr>
          <w:rStyle w:val="normaltextrun"/>
        </w:rPr>
        <w:t>should</w:t>
      </w:r>
      <w:r w:rsidR="00B14D01" w:rsidRPr="002D6C6A">
        <w:rPr>
          <w:rStyle w:val="normaltextrun"/>
        </w:rPr>
        <w:t xml:space="preserve"> check </w:t>
      </w:r>
      <w:r w:rsidR="00296C2C">
        <w:rPr>
          <w:rStyle w:val="normaltextrun"/>
        </w:rPr>
        <w:t>the</w:t>
      </w:r>
      <w:r w:rsidR="00B14D01" w:rsidRPr="002D6C6A">
        <w:rPr>
          <w:rStyle w:val="normaltextrun"/>
        </w:rPr>
        <w:t xml:space="preserve"> child’s </w:t>
      </w:r>
      <w:r w:rsidR="00296C2C">
        <w:rPr>
          <w:rStyle w:val="normaltextrun"/>
        </w:rPr>
        <w:t xml:space="preserve">immunisation </w:t>
      </w:r>
      <w:r w:rsidR="005657ED">
        <w:rPr>
          <w:rStyle w:val="normaltextrun"/>
        </w:rPr>
        <w:t>history</w:t>
      </w:r>
      <w:r w:rsidR="00B14D01" w:rsidRPr="002D6C6A">
        <w:rPr>
          <w:rStyle w:val="normaltextrun"/>
        </w:rPr>
        <w:t xml:space="preserve">, to determine the vaccine </w:t>
      </w:r>
      <w:r w:rsidR="00B127ED" w:rsidRPr="002D6C6A">
        <w:rPr>
          <w:rStyle w:val="normaltextrun"/>
        </w:rPr>
        <w:t xml:space="preserve">brand </w:t>
      </w:r>
      <w:r w:rsidR="00B14D01" w:rsidRPr="002D6C6A">
        <w:rPr>
          <w:rStyle w:val="normaltextrun"/>
        </w:rPr>
        <w:t>used in any previous primary doses that were given elsewhere.</w:t>
      </w:r>
      <w:r w:rsidR="00B14D01" w:rsidRPr="002D6C6A">
        <w:rPr>
          <w:rStyle w:val="eop"/>
        </w:rPr>
        <w:t> </w:t>
      </w:r>
      <w:r w:rsidR="00D17C8A" w:rsidRPr="00B127ED">
        <w:rPr>
          <w:szCs w:val="21"/>
        </w:rPr>
        <w:t> </w:t>
      </w:r>
    </w:p>
    <w:p w14:paraId="13FBCCC6" w14:textId="1022456D" w:rsidR="00B31F42" w:rsidRPr="00840432" w:rsidRDefault="00B31F42" w:rsidP="00840432">
      <w:pPr>
        <w:pStyle w:val="Heading2"/>
        <w:rPr>
          <w:sz w:val="24"/>
          <w:szCs w:val="24"/>
          <w:lang w:val="en-GB"/>
        </w:rPr>
      </w:pPr>
      <w:r w:rsidRPr="00840432">
        <w:rPr>
          <w:sz w:val="24"/>
          <w:szCs w:val="24"/>
          <w:lang w:val="en-GB"/>
        </w:rPr>
        <w:t>Vaxelis</w:t>
      </w:r>
      <w:r w:rsidRPr="00840432">
        <w:rPr>
          <w:sz w:val="24"/>
          <w:szCs w:val="24"/>
        </w:rPr>
        <w:t>®</w:t>
      </w:r>
      <w:r w:rsidR="00B94EBF">
        <w:rPr>
          <w:sz w:val="24"/>
          <w:szCs w:val="24"/>
        </w:rPr>
        <w:t xml:space="preserve"> </w:t>
      </w:r>
      <w:r w:rsidRPr="00840432">
        <w:rPr>
          <w:sz w:val="24"/>
          <w:szCs w:val="24"/>
          <w:lang w:val="en-GB"/>
        </w:rPr>
        <w:t>co-administ</w:t>
      </w:r>
      <w:r w:rsidR="00C31B2C" w:rsidRPr="00840432">
        <w:rPr>
          <w:sz w:val="24"/>
          <w:szCs w:val="24"/>
          <w:lang w:val="en-GB"/>
        </w:rPr>
        <w:t>ration</w:t>
      </w:r>
      <w:r w:rsidRPr="00840432">
        <w:rPr>
          <w:sz w:val="24"/>
          <w:szCs w:val="24"/>
          <w:lang w:val="en-GB"/>
        </w:rPr>
        <w:t xml:space="preserve"> </w:t>
      </w:r>
    </w:p>
    <w:p w14:paraId="326DA982" w14:textId="0A617E95" w:rsidR="000B4327" w:rsidRPr="00BD596B" w:rsidRDefault="000B4327" w:rsidP="000B4327">
      <w:pPr>
        <w:pStyle w:val="Body"/>
        <w:rPr>
          <w:rStyle w:val="normaltextrun"/>
          <w:rFonts w:eastAsia="MS Mincho"/>
          <w:szCs w:val="21"/>
        </w:rPr>
      </w:pPr>
      <w:r w:rsidRPr="00BD596B">
        <w:rPr>
          <w:rStyle w:val="normaltextrun"/>
          <w:rFonts w:eastAsia="MS Mincho" w:cs="Arial"/>
          <w:szCs w:val="21"/>
        </w:rPr>
        <w:t xml:space="preserve">When co-administering </w:t>
      </w:r>
      <w:hyperlink r:id="rId25" w:history="1">
        <w:r w:rsidRPr="00BD596B">
          <w:rPr>
            <w:rStyle w:val="Hyperlink"/>
            <w:rFonts w:eastAsiaTheme="minorHAnsi"/>
            <w:lang w:eastAsia="en-AU"/>
          </w:rPr>
          <w:t>Vaxelis</w:t>
        </w:r>
        <w:r w:rsidRPr="00BD596B">
          <w:rPr>
            <w:rStyle w:val="Hyperlink"/>
            <w:rFonts w:eastAsiaTheme="minorHAnsi" w:cs="Arial"/>
            <w:lang w:eastAsia="en-AU"/>
          </w:rPr>
          <w:t>®</w:t>
        </w:r>
      </w:hyperlink>
      <w:r w:rsidRPr="00BD596B">
        <w:rPr>
          <w:rStyle w:val="normaltextrun"/>
          <w:rFonts w:eastAsia="MS Mincho" w:cs="Arial"/>
          <w:szCs w:val="21"/>
        </w:rPr>
        <w:t xml:space="preserve"> with other injectable vaccines</w:t>
      </w:r>
      <w:r w:rsidR="00531876">
        <w:rPr>
          <w:rStyle w:val="normaltextrun"/>
          <w:rFonts w:eastAsia="MS Mincho" w:cs="Arial"/>
          <w:szCs w:val="21"/>
        </w:rPr>
        <w:t>,</w:t>
      </w:r>
      <w:r w:rsidRPr="00BD596B">
        <w:rPr>
          <w:rStyle w:val="normaltextrun"/>
          <w:rFonts w:eastAsia="MS Mincho" w:cs="Arial"/>
          <w:szCs w:val="21"/>
        </w:rPr>
        <w:t xml:space="preserve"> separate injection sites, preferably on separate limbs must be used. </w:t>
      </w:r>
    </w:p>
    <w:p w14:paraId="3DEB8200" w14:textId="740AADB5" w:rsidR="00B31F42" w:rsidRPr="00BD596B" w:rsidRDefault="00B31F42" w:rsidP="00B31F42">
      <w:pPr>
        <w:pStyle w:val="Body"/>
        <w:rPr>
          <w:rStyle w:val="normaltextrun"/>
          <w:rFonts w:eastAsia="MS Mincho"/>
        </w:rPr>
      </w:pPr>
      <w:r w:rsidRPr="00BD596B">
        <w:rPr>
          <w:rStyle w:val="normaltextrun"/>
          <w:rFonts w:eastAsia="MS Mincho" w:cs="Arial"/>
          <w:szCs w:val="21"/>
        </w:rPr>
        <w:t>Vaxelis</w:t>
      </w:r>
      <w:r w:rsidRPr="00BD596B">
        <w:rPr>
          <w:rStyle w:val="normaltextrun"/>
          <w:rFonts w:eastAsia="MS Mincho"/>
          <w:szCs w:val="21"/>
        </w:rPr>
        <w:t xml:space="preserve">® </w:t>
      </w:r>
      <w:r w:rsidR="00F31016">
        <w:rPr>
          <w:rStyle w:val="normaltextrun"/>
          <w:rFonts w:eastAsia="MS Mincho"/>
          <w:szCs w:val="21"/>
        </w:rPr>
        <w:t xml:space="preserve">product information </w:t>
      </w:r>
      <w:r w:rsidR="00E3737A">
        <w:rPr>
          <w:rStyle w:val="normaltextrun"/>
          <w:rFonts w:eastAsia="MS Mincho"/>
          <w:szCs w:val="21"/>
        </w:rPr>
        <w:t xml:space="preserve">advises that the vaccine </w:t>
      </w:r>
      <w:r w:rsidRPr="00BD596B">
        <w:rPr>
          <w:rStyle w:val="normaltextrun"/>
          <w:rFonts w:eastAsia="MS Mincho"/>
        </w:rPr>
        <w:t>can be co-administered with</w:t>
      </w:r>
      <w:r w:rsidR="006E3D33" w:rsidRPr="00BD596B">
        <w:rPr>
          <w:rStyle w:val="normaltextrun"/>
          <w:rFonts w:eastAsia="MS Mincho"/>
        </w:rPr>
        <w:t>:</w:t>
      </w:r>
    </w:p>
    <w:p w14:paraId="1FBC4CAD" w14:textId="77777777" w:rsidR="004D21C4" w:rsidRPr="00BD596B" w:rsidRDefault="004D21C4" w:rsidP="00B31F42">
      <w:pPr>
        <w:pStyle w:val="Body"/>
        <w:numPr>
          <w:ilvl w:val="0"/>
          <w:numId w:val="15"/>
        </w:numPr>
        <w:rPr>
          <w:rStyle w:val="normaltextrun"/>
          <w:rFonts w:eastAsia="MS Mincho"/>
        </w:rPr>
        <w:sectPr w:rsidR="004D21C4" w:rsidRPr="00BD596B" w:rsidSect="00E62622">
          <w:footerReference w:type="default" r:id="rId26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0EE70B13" w14:textId="12E4605D" w:rsidR="00B31F42" w:rsidRPr="00061E42" w:rsidRDefault="00B31F42">
      <w:pPr>
        <w:pStyle w:val="Body"/>
        <w:numPr>
          <w:ilvl w:val="0"/>
          <w:numId w:val="15"/>
        </w:numPr>
        <w:rPr>
          <w:rStyle w:val="normaltextrun"/>
          <w:rFonts w:eastAsia="MS Mincho" w:cs="Arial"/>
          <w:szCs w:val="21"/>
        </w:rPr>
      </w:pPr>
      <w:r w:rsidRPr="00061E42">
        <w:rPr>
          <w:rStyle w:val="normaltextrun"/>
          <w:rFonts w:eastAsia="MS Mincho"/>
        </w:rPr>
        <w:t>pneumococcal polysaccharide conjugate vaccines</w:t>
      </w:r>
    </w:p>
    <w:p w14:paraId="50A09FE8" w14:textId="77777777" w:rsidR="00B31F42" w:rsidRPr="00BD596B" w:rsidRDefault="00B31F42" w:rsidP="00B31F42">
      <w:pPr>
        <w:pStyle w:val="Body"/>
        <w:numPr>
          <w:ilvl w:val="0"/>
          <w:numId w:val="15"/>
        </w:numPr>
        <w:rPr>
          <w:rStyle w:val="normaltextrun"/>
          <w:rFonts w:eastAsia="MS Mincho" w:cs="Arial"/>
          <w:szCs w:val="21"/>
        </w:rPr>
      </w:pPr>
      <w:r w:rsidRPr="00BD596B">
        <w:rPr>
          <w:rStyle w:val="normaltextrun"/>
          <w:rFonts w:eastAsia="MS Mincho"/>
        </w:rPr>
        <w:t xml:space="preserve">rotavirus vaccines </w:t>
      </w:r>
    </w:p>
    <w:p w14:paraId="3D23767A" w14:textId="77777777" w:rsidR="00B31F42" w:rsidRPr="00BD596B" w:rsidRDefault="00B31F42" w:rsidP="00B31F42">
      <w:pPr>
        <w:pStyle w:val="Body"/>
        <w:numPr>
          <w:ilvl w:val="0"/>
          <w:numId w:val="15"/>
        </w:numPr>
        <w:rPr>
          <w:rStyle w:val="normaltextrun"/>
          <w:rFonts w:eastAsia="MS Mincho" w:cs="Arial"/>
        </w:rPr>
      </w:pPr>
      <w:r w:rsidRPr="00BD596B">
        <w:rPr>
          <w:rStyle w:val="normaltextrun"/>
          <w:rFonts w:eastAsia="MS Mincho"/>
        </w:rPr>
        <w:t>measles, mumps, rubella (MMR) and varicella containing vaccines (live virus vaccines)</w:t>
      </w:r>
    </w:p>
    <w:p w14:paraId="441CD3F2" w14:textId="5E517C97" w:rsidR="00DB5814" w:rsidRDefault="00B31F42" w:rsidP="00CF786F">
      <w:pPr>
        <w:pStyle w:val="Body"/>
        <w:numPr>
          <w:ilvl w:val="0"/>
          <w:numId w:val="15"/>
        </w:numPr>
        <w:rPr>
          <w:rStyle w:val="normaltextrun"/>
          <w:rFonts w:eastAsia="MS Mincho"/>
        </w:rPr>
      </w:pPr>
      <w:r w:rsidRPr="00BD596B">
        <w:rPr>
          <w:rStyle w:val="normaltextrun"/>
          <w:rFonts w:eastAsia="MS Mincho"/>
        </w:rPr>
        <w:t xml:space="preserve">meningococcal C conjugate vaccines </w:t>
      </w:r>
    </w:p>
    <w:p w14:paraId="1484EF14" w14:textId="1638A9BD" w:rsidR="00B31F42" w:rsidRPr="00DB5814" w:rsidRDefault="00DD0E20">
      <w:pPr>
        <w:pStyle w:val="Body"/>
        <w:numPr>
          <w:ilvl w:val="0"/>
          <w:numId w:val="15"/>
        </w:numPr>
        <w:rPr>
          <w:rStyle w:val="normaltextrun"/>
          <w:rFonts w:eastAsia="MS Mincho" w:cs="Arial"/>
        </w:rPr>
      </w:pPr>
      <w:r w:rsidRPr="00DB5814">
        <w:rPr>
          <w:rStyle w:val="normaltextrun"/>
          <w:rFonts w:eastAsia="MS Mincho"/>
        </w:rPr>
        <w:t>meningococ</w:t>
      </w:r>
      <w:r>
        <w:rPr>
          <w:rStyle w:val="normaltextrun"/>
          <w:rFonts w:eastAsia="MS Mincho"/>
        </w:rPr>
        <w:t>cal</w:t>
      </w:r>
      <w:r w:rsidR="00B31F42" w:rsidRPr="00DB5814">
        <w:rPr>
          <w:rStyle w:val="normaltextrun"/>
          <w:rFonts w:eastAsia="MS Mincho"/>
        </w:rPr>
        <w:t xml:space="preserve"> serogroup C</w:t>
      </w:r>
    </w:p>
    <w:p w14:paraId="6BE0D039" w14:textId="77777777" w:rsidR="004D21C4" w:rsidRDefault="004D21C4" w:rsidP="00B710E7">
      <w:pPr>
        <w:pStyle w:val="Heading2"/>
        <w:rPr>
          <w:rStyle w:val="normaltextrun"/>
          <w:rFonts w:eastAsia="MS Gothic"/>
          <w:color w:val="auto"/>
        </w:rPr>
        <w:sectPr w:rsidR="004D21C4" w:rsidSect="00DD0E20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1147969E" w14:textId="77777777" w:rsidR="00DD0E20" w:rsidRDefault="003B3CF3" w:rsidP="00C17888">
      <w:pPr>
        <w:pStyle w:val="Heading2"/>
        <w:spacing w:before="0" w:after="0" w:line="240" w:lineRule="auto"/>
        <w:rPr>
          <w:rStyle w:val="normaltextrun"/>
          <w:rFonts w:eastAsia="MS Mincho"/>
          <w:b w:val="0"/>
          <w:color w:val="auto"/>
          <w:sz w:val="21"/>
          <w:szCs w:val="20"/>
        </w:rPr>
        <w:sectPr w:rsidR="00DD0E20" w:rsidSect="00DD0E20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  <w:r w:rsidRPr="00F526C7">
        <w:rPr>
          <w:rStyle w:val="normaltextrun"/>
          <w:rFonts w:eastAsia="MS Mincho"/>
          <w:b w:val="0"/>
          <w:color w:val="auto"/>
          <w:sz w:val="21"/>
          <w:szCs w:val="20"/>
        </w:rPr>
        <w:t xml:space="preserve">Please refer to the </w:t>
      </w:r>
      <w:hyperlink r:id="rId27">
        <w:r w:rsidRPr="00E247A5">
          <w:rPr>
            <w:rStyle w:val="Hyperlink"/>
            <w:rFonts w:eastAsiaTheme="minorHAnsi"/>
            <w:b w:val="0"/>
            <w:bCs/>
            <w:sz w:val="21"/>
            <w:szCs w:val="21"/>
            <w:lang w:eastAsia="en-AU"/>
          </w:rPr>
          <w:t>Australian Immunisation Handbook</w:t>
        </w:r>
      </w:hyperlink>
      <w:r w:rsidRPr="00E247A5">
        <w:rPr>
          <w:rStyle w:val="BodyChar"/>
          <w:b w:val="0"/>
          <w:bCs/>
          <w:lang w:eastAsia="en-AU"/>
        </w:rPr>
        <w:t xml:space="preserve"> </w:t>
      </w:r>
      <w:r w:rsidRPr="00E247A5">
        <w:rPr>
          <w:rStyle w:val="normaltextrun"/>
          <w:rFonts w:eastAsia="MS Mincho"/>
          <w:b w:val="0"/>
          <w:bCs/>
          <w:color w:val="auto"/>
          <w:sz w:val="21"/>
          <w:szCs w:val="21"/>
        </w:rPr>
        <w:t xml:space="preserve">for </w:t>
      </w:r>
      <w:r w:rsidRPr="00F526C7">
        <w:rPr>
          <w:rStyle w:val="normaltextrun"/>
          <w:rFonts w:eastAsia="MS Mincho"/>
          <w:b w:val="0"/>
          <w:color w:val="auto"/>
          <w:sz w:val="21"/>
          <w:szCs w:val="20"/>
        </w:rPr>
        <w:t>further advice regarding co-</w:t>
      </w:r>
      <w:r w:rsidR="00E247A5" w:rsidRPr="00F526C7">
        <w:rPr>
          <w:rStyle w:val="normaltextrun"/>
          <w:rFonts w:eastAsia="MS Mincho"/>
          <w:b w:val="0"/>
          <w:color w:val="auto"/>
          <w:sz w:val="21"/>
          <w:szCs w:val="20"/>
        </w:rPr>
        <w:t>administration</w:t>
      </w:r>
      <w:r w:rsidR="00E247A5">
        <w:rPr>
          <w:rStyle w:val="normaltextrun"/>
          <w:rFonts w:eastAsia="MS Mincho"/>
          <w:b w:val="0"/>
          <w:color w:val="auto"/>
          <w:sz w:val="21"/>
          <w:szCs w:val="20"/>
        </w:rPr>
        <w:t xml:space="preserve">. The </w:t>
      </w:r>
    </w:p>
    <w:p w14:paraId="692A54BA" w14:textId="0AF92883" w:rsidR="00E3737A" w:rsidRPr="00F526C7" w:rsidRDefault="00E247A5" w:rsidP="00C17888">
      <w:pPr>
        <w:pStyle w:val="Heading2"/>
        <w:spacing w:before="0" w:after="0" w:line="240" w:lineRule="auto"/>
        <w:rPr>
          <w:rStyle w:val="normaltextrun"/>
          <w:rFonts w:eastAsia="MS Mincho"/>
          <w:b w:val="0"/>
          <w:color w:val="auto"/>
          <w:sz w:val="21"/>
          <w:szCs w:val="20"/>
        </w:rPr>
      </w:pPr>
      <w:r>
        <w:rPr>
          <w:rStyle w:val="normaltextrun"/>
          <w:rFonts w:eastAsia="MS Mincho"/>
          <w:b w:val="0"/>
          <w:color w:val="auto"/>
          <w:sz w:val="21"/>
          <w:szCs w:val="20"/>
        </w:rPr>
        <w:t>handbook</w:t>
      </w:r>
      <w:r w:rsidR="003B3CF3" w:rsidRPr="00F526C7">
        <w:rPr>
          <w:rStyle w:val="normaltextrun"/>
          <w:rFonts w:eastAsia="MS Mincho"/>
          <w:b w:val="0"/>
          <w:color w:val="auto"/>
          <w:sz w:val="21"/>
          <w:szCs w:val="20"/>
        </w:rPr>
        <w:t xml:space="preserve"> will be </w:t>
      </w:r>
      <w:r w:rsidR="003B3CF3" w:rsidRPr="003B3CF3">
        <w:rPr>
          <w:rStyle w:val="normaltextrun"/>
          <w:rFonts w:eastAsia="MS Mincho"/>
          <w:b w:val="0"/>
          <w:color w:val="auto"/>
          <w:sz w:val="21"/>
          <w:szCs w:val="20"/>
        </w:rPr>
        <w:t>updated</w:t>
      </w:r>
      <w:r w:rsidR="003B3CF3" w:rsidRPr="00F526C7">
        <w:rPr>
          <w:rStyle w:val="normaltextrun"/>
          <w:rFonts w:eastAsia="MS Mincho"/>
          <w:b w:val="0"/>
          <w:color w:val="auto"/>
          <w:sz w:val="21"/>
          <w:szCs w:val="20"/>
        </w:rPr>
        <w:t xml:space="preserve"> from 1 July 2023 to reflect vaccine recommendations for </w:t>
      </w:r>
      <w:r w:rsidRPr="00E247A5">
        <w:rPr>
          <w:rStyle w:val="normaltextrun"/>
          <w:rFonts w:eastAsia="MS Mincho"/>
          <w:b w:val="0"/>
          <w:color w:val="auto"/>
          <w:sz w:val="21"/>
          <w:szCs w:val="20"/>
        </w:rPr>
        <w:t>Vaxelis®</w:t>
      </w:r>
      <w:r>
        <w:rPr>
          <w:rStyle w:val="normaltextrun"/>
          <w:rFonts w:eastAsia="MS Mincho"/>
          <w:b w:val="0"/>
          <w:color w:val="auto"/>
          <w:sz w:val="21"/>
          <w:szCs w:val="20"/>
        </w:rPr>
        <w:t>.</w:t>
      </w:r>
    </w:p>
    <w:p w14:paraId="2F9ED669" w14:textId="1F71BB47" w:rsidR="00D53E3B" w:rsidRPr="00D624A3" w:rsidRDefault="00C7085C" w:rsidP="00B710E7">
      <w:pPr>
        <w:pStyle w:val="Heading2"/>
        <w:rPr>
          <w:rFonts w:eastAsia="MS Gothic"/>
          <w:color w:val="auto"/>
        </w:rPr>
      </w:pPr>
      <w:r>
        <w:rPr>
          <w:rStyle w:val="normaltextrun"/>
          <w:rFonts w:eastAsia="MS Gothic"/>
          <w:color w:val="auto"/>
        </w:rPr>
        <w:t>Vaccine s</w:t>
      </w:r>
      <w:r w:rsidR="00954FD9">
        <w:rPr>
          <w:color w:val="auto"/>
        </w:rPr>
        <w:t>ide effects</w:t>
      </w:r>
    </w:p>
    <w:p w14:paraId="645A43C5" w14:textId="4119BE48" w:rsidR="006A7FE8" w:rsidRDefault="000B446B" w:rsidP="00C313B9">
      <w:pPr>
        <w:pStyle w:val="Body"/>
        <w:rPr>
          <w:lang w:val="en-GB"/>
        </w:rPr>
      </w:pPr>
      <w:r w:rsidRPr="240D9216">
        <w:rPr>
          <w:lang w:val="en-GB"/>
        </w:rPr>
        <w:t xml:space="preserve">In clinical </w:t>
      </w:r>
      <w:r w:rsidR="006C7A39" w:rsidRPr="240D9216">
        <w:rPr>
          <w:lang w:val="en-GB"/>
        </w:rPr>
        <w:t>trials</w:t>
      </w:r>
      <w:r w:rsidRPr="240D9216">
        <w:rPr>
          <w:lang w:val="en-GB"/>
        </w:rPr>
        <w:t xml:space="preserve"> with Vaxelis</w:t>
      </w:r>
      <w:r w:rsidR="00C945F0" w:rsidRPr="240D9216">
        <w:rPr>
          <w:rFonts w:cs="Arial"/>
          <w:lang w:val="en-GB"/>
        </w:rPr>
        <w:t>®</w:t>
      </w:r>
      <w:r w:rsidRPr="240D9216">
        <w:rPr>
          <w:lang w:val="en-GB"/>
        </w:rPr>
        <w:t>, the most frequently reported adverse events were</w:t>
      </w:r>
      <w:r w:rsidR="00E343CF" w:rsidRPr="240D9216">
        <w:rPr>
          <w:lang w:val="en-GB"/>
        </w:rPr>
        <w:t>:</w:t>
      </w:r>
      <w:r w:rsidRPr="240D9216">
        <w:rPr>
          <w:lang w:val="en-GB"/>
        </w:rPr>
        <w:t xml:space="preserve"> </w:t>
      </w:r>
    </w:p>
    <w:p w14:paraId="0635C89B" w14:textId="77777777" w:rsidR="004D21C4" w:rsidRDefault="004D21C4" w:rsidP="006A7FE8">
      <w:pPr>
        <w:pStyle w:val="Body"/>
        <w:numPr>
          <w:ilvl w:val="0"/>
          <w:numId w:val="17"/>
        </w:numPr>
        <w:rPr>
          <w:lang w:val="en-GB"/>
        </w:rPr>
        <w:sectPr w:rsidR="004D21C4" w:rsidSect="00E62622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23CB1F3" w14:textId="0CC04BE7" w:rsidR="006A7FE8" w:rsidRDefault="000B446B" w:rsidP="006A7FE8">
      <w:pPr>
        <w:pStyle w:val="Body"/>
        <w:numPr>
          <w:ilvl w:val="0"/>
          <w:numId w:val="17"/>
        </w:numPr>
        <w:rPr>
          <w:lang w:val="en-GB"/>
        </w:rPr>
      </w:pPr>
      <w:r>
        <w:rPr>
          <w:lang w:val="en-GB"/>
        </w:rPr>
        <w:t>irritability</w:t>
      </w:r>
    </w:p>
    <w:p w14:paraId="5FA18CC2" w14:textId="72CB8BEB" w:rsidR="006A7FE8" w:rsidRDefault="000B446B" w:rsidP="006A7FE8">
      <w:pPr>
        <w:pStyle w:val="Body"/>
        <w:numPr>
          <w:ilvl w:val="0"/>
          <w:numId w:val="17"/>
        </w:numPr>
        <w:rPr>
          <w:lang w:val="en-GB"/>
        </w:rPr>
      </w:pPr>
      <w:r>
        <w:rPr>
          <w:lang w:val="en-GB"/>
        </w:rPr>
        <w:t>crying</w:t>
      </w:r>
    </w:p>
    <w:p w14:paraId="03CD57BA" w14:textId="30596084" w:rsidR="006A7FE8" w:rsidRDefault="00CF786F" w:rsidP="006A7FE8">
      <w:pPr>
        <w:pStyle w:val="Body"/>
        <w:numPr>
          <w:ilvl w:val="0"/>
          <w:numId w:val="17"/>
        </w:numPr>
        <w:rPr>
          <w:lang w:val="en-GB"/>
        </w:rPr>
      </w:pPr>
      <w:r>
        <w:rPr>
          <w:lang w:val="en-GB"/>
        </w:rPr>
        <w:t>drowsiness</w:t>
      </w:r>
    </w:p>
    <w:p w14:paraId="7CBEF7C7" w14:textId="7A7CF6DA" w:rsidR="006A7FE8" w:rsidRDefault="006F0F35" w:rsidP="006A7FE8">
      <w:pPr>
        <w:pStyle w:val="Body"/>
        <w:numPr>
          <w:ilvl w:val="0"/>
          <w:numId w:val="17"/>
        </w:numPr>
        <w:rPr>
          <w:lang w:val="en-GB"/>
        </w:rPr>
      </w:pPr>
      <w:r>
        <w:rPr>
          <w:lang w:val="en-GB"/>
        </w:rPr>
        <w:t>injection site reaction</w:t>
      </w:r>
      <w:r w:rsidR="00ED1A6F">
        <w:rPr>
          <w:lang w:val="en-GB"/>
        </w:rPr>
        <w:t>s (</w:t>
      </w:r>
      <w:r w:rsidR="006C7A39">
        <w:rPr>
          <w:lang w:val="en-GB"/>
        </w:rPr>
        <w:t>pain, erythema</w:t>
      </w:r>
      <w:r w:rsidR="00ED1A6F">
        <w:rPr>
          <w:lang w:val="en-GB"/>
        </w:rPr>
        <w:t>,</w:t>
      </w:r>
      <w:r w:rsidR="00C945F0">
        <w:rPr>
          <w:lang w:val="en-GB"/>
        </w:rPr>
        <w:t xml:space="preserve"> </w:t>
      </w:r>
      <w:r w:rsidR="00ED1A6F">
        <w:rPr>
          <w:lang w:val="en-GB"/>
        </w:rPr>
        <w:t>s</w:t>
      </w:r>
      <w:r w:rsidR="00C945F0">
        <w:rPr>
          <w:lang w:val="en-GB"/>
        </w:rPr>
        <w:t>w</w:t>
      </w:r>
      <w:r w:rsidR="00ED1A6F">
        <w:rPr>
          <w:lang w:val="en-GB"/>
        </w:rPr>
        <w:t xml:space="preserve">elling) </w:t>
      </w:r>
    </w:p>
    <w:p w14:paraId="458897DB" w14:textId="3530EB0C" w:rsidR="00C7085C" w:rsidRDefault="00ED1A6F" w:rsidP="006A7FE8">
      <w:pPr>
        <w:pStyle w:val="Body"/>
        <w:numPr>
          <w:ilvl w:val="0"/>
          <w:numId w:val="17"/>
        </w:numPr>
        <w:rPr>
          <w:lang w:val="en-GB"/>
        </w:rPr>
      </w:pPr>
      <w:r>
        <w:rPr>
          <w:lang w:val="en-GB"/>
        </w:rPr>
        <w:t>fever &gt;</w:t>
      </w:r>
      <w:r w:rsidR="00D26B20">
        <w:rPr>
          <w:lang w:val="en-GB"/>
        </w:rPr>
        <w:t>+</w:t>
      </w:r>
      <w:r>
        <w:rPr>
          <w:lang w:val="en-GB"/>
        </w:rPr>
        <w:t>38</w:t>
      </w:r>
      <w:r>
        <w:rPr>
          <w:rFonts w:cs="Arial"/>
          <w:lang w:val="en-GB"/>
        </w:rPr>
        <w:t>°</w:t>
      </w:r>
      <w:r>
        <w:rPr>
          <w:lang w:val="en-GB"/>
        </w:rPr>
        <w:t>C</w:t>
      </w:r>
    </w:p>
    <w:p w14:paraId="59EBB2F1" w14:textId="25089BD3" w:rsidR="00C7085C" w:rsidRDefault="00ED1A6F" w:rsidP="006A7FE8">
      <w:pPr>
        <w:pStyle w:val="Body"/>
        <w:numPr>
          <w:ilvl w:val="0"/>
          <w:numId w:val="17"/>
        </w:numPr>
        <w:rPr>
          <w:lang w:val="en-GB"/>
        </w:rPr>
      </w:pPr>
      <w:r>
        <w:rPr>
          <w:lang w:val="en-GB"/>
        </w:rPr>
        <w:t>decreased appetit</w:t>
      </w:r>
      <w:r w:rsidR="00C945F0">
        <w:rPr>
          <w:lang w:val="en-GB"/>
        </w:rPr>
        <w:t xml:space="preserve">e  </w:t>
      </w:r>
    </w:p>
    <w:p w14:paraId="30A091EE" w14:textId="6FD887A2" w:rsidR="005B5798" w:rsidRDefault="00C945F0" w:rsidP="006A7FE8">
      <w:pPr>
        <w:pStyle w:val="Body"/>
        <w:numPr>
          <w:ilvl w:val="0"/>
          <w:numId w:val="17"/>
        </w:numPr>
        <w:rPr>
          <w:lang w:val="en-GB"/>
        </w:rPr>
      </w:pPr>
      <w:r>
        <w:rPr>
          <w:lang w:val="en-GB"/>
        </w:rPr>
        <w:t>vomiting</w:t>
      </w:r>
    </w:p>
    <w:p w14:paraId="585D9ABB" w14:textId="77777777" w:rsidR="004D21C4" w:rsidRDefault="004D21C4" w:rsidP="00C7085C">
      <w:pPr>
        <w:pStyle w:val="Body"/>
        <w:rPr>
          <w:lang w:val="en-GB"/>
        </w:rPr>
        <w:sectPr w:rsidR="004D21C4" w:rsidSect="004D21C4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p w14:paraId="50DE8564" w14:textId="512CD318" w:rsidR="00D26B20" w:rsidRDefault="005B5798" w:rsidP="00C7085C">
      <w:pPr>
        <w:pStyle w:val="Body"/>
        <w:rPr>
          <w:lang w:val="en-GB"/>
        </w:rPr>
      </w:pPr>
      <w:r>
        <w:rPr>
          <w:lang w:val="en-GB"/>
        </w:rPr>
        <w:t xml:space="preserve">All adverse events following immunisation should be reported to </w:t>
      </w:r>
      <w:r w:rsidR="00C7085C">
        <w:rPr>
          <w:lang w:val="en-GB"/>
        </w:rPr>
        <w:t>Victoria</w:t>
      </w:r>
      <w:r w:rsidR="00296C2C">
        <w:rPr>
          <w:lang w:val="en-GB"/>
        </w:rPr>
        <w:t>’s</w:t>
      </w:r>
      <w:r w:rsidR="00C7085C">
        <w:rPr>
          <w:lang w:val="en-GB"/>
        </w:rPr>
        <w:t xml:space="preserve"> vaccine safety service </w:t>
      </w:r>
      <w:hyperlink r:id="rId28" w:history="1">
        <w:r w:rsidRPr="00170340">
          <w:rPr>
            <w:rStyle w:val="Hyperlink"/>
            <w:lang w:val="en-GB"/>
          </w:rPr>
          <w:t>SAEFVIC</w:t>
        </w:r>
      </w:hyperlink>
      <w:r>
        <w:rPr>
          <w:lang w:val="en-GB"/>
        </w:rPr>
        <w:t>.</w:t>
      </w:r>
    </w:p>
    <w:p w14:paraId="2FB1D3C1" w14:textId="77777777" w:rsidR="00460044" w:rsidRPr="002D2702" w:rsidRDefault="00460044" w:rsidP="00460044">
      <w:pPr>
        <w:pStyle w:val="Heading2"/>
        <w:rPr>
          <w:rStyle w:val="normaltextrun"/>
          <w:rFonts w:eastAsia="MS Gothic"/>
          <w:color w:val="auto"/>
        </w:rPr>
      </w:pPr>
      <w:r>
        <w:rPr>
          <w:rStyle w:val="normaltextrun"/>
          <w:rFonts w:eastAsia="MS Gothic"/>
          <w:color w:val="auto"/>
        </w:rPr>
        <w:t>Vaccine s</w:t>
      </w:r>
      <w:r>
        <w:rPr>
          <w:color w:val="auto"/>
        </w:rPr>
        <w:t>torage requirements</w:t>
      </w:r>
    </w:p>
    <w:p w14:paraId="3146EE12" w14:textId="77777777" w:rsidR="00460044" w:rsidRPr="00875BCB" w:rsidRDefault="00460044" w:rsidP="009770B8">
      <w:pPr>
        <w:pStyle w:val="Body"/>
        <w:rPr>
          <w:lang w:val="en-GB"/>
        </w:rPr>
      </w:pPr>
      <w:r w:rsidRPr="00875BCB">
        <w:rPr>
          <w:lang w:val="en-GB"/>
        </w:rPr>
        <w:t>Vaxelis® is light sensitive and must be stored in its original packaging to protect from light in a purpose-built vaccine refrigerator between +2°C –</w:t>
      </w:r>
      <w:r w:rsidR="00CF786F" w:rsidRPr="00875BCB">
        <w:rPr>
          <w:lang w:val="en-GB"/>
        </w:rPr>
        <w:t xml:space="preserve"> +</w:t>
      </w:r>
      <w:r w:rsidRPr="00875BCB">
        <w:rPr>
          <w:lang w:val="en-GB"/>
        </w:rPr>
        <w:t xml:space="preserve"> 8°C. </w:t>
      </w:r>
    </w:p>
    <w:p w14:paraId="40353FF7" w14:textId="3CD778ED" w:rsidR="00460044" w:rsidRPr="00875BCB" w:rsidRDefault="00460044" w:rsidP="00460044">
      <w:pPr>
        <w:pStyle w:val="Body"/>
        <w:rPr>
          <w:lang w:val="en-GB"/>
        </w:rPr>
      </w:pPr>
      <w:r w:rsidRPr="00875BCB">
        <w:rPr>
          <w:lang w:val="en-GB"/>
        </w:rPr>
        <w:t xml:space="preserve">Ensure all staff receiving and storing vaccines are familiar with the </w:t>
      </w:r>
      <w:hyperlink r:id="rId29" w:history="1">
        <w:r w:rsidRPr="00875BCB">
          <w:rPr>
            <w:rStyle w:val="Hyperlink"/>
            <w:rFonts w:eastAsiaTheme="minorHAnsi"/>
            <w:lang w:eastAsia="en-AU"/>
          </w:rPr>
          <w:t xml:space="preserve">National Vaccine Storage Guidelines – Strive </w:t>
        </w:r>
        <w:r w:rsidRPr="002E585F">
          <w:rPr>
            <w:rStyle w:val="Hyperlink"/>
            <w:rFonts w:eastAsiaTheme="minorHAnsi"/>
            <w:lang w:eastAsia="en-AU"/>
          </w:rPr>
          <w:t>for five</w:t>
        </w:r>
      </w:hyperlink>
      <w:r w:rsidR="002E585F">
        <w:rPr>
          <w:rStyle w:val="Hyperlink"/>
          <w:rFonts w:eastAsiaTheme="minorHAnsi"/>
          <w:lang w:eastAsia="en-AU"/>
        </w:rPr>
        <w:t>.</w:t>
      </w:r>
      <w:r w:rsidRPr="00875BCB">
        <w:rPr>
          <w:lang w:val="en-GB"/>
        </w:rPr>
        <w:t xml:space="preserve"> </w:t>
      </w:r>
      <w:r w:rsidR="003D4518">
        <w:rPr>
          <w:lang w:val="en-GB"/>
        </w:rPr>
        <w:t xml:space="preserve">It is also recommended they complete </w:t>
      </w:r>
      <w:r w:rsidRPr="00875BCB">
        <w:rPr>
          <w:lang w:val="en-GB"/>
        </w:rPr>
        <w:t xml:space="preserve">the </w:t>
      </w:r>
      <w:r w:rsidR="00012605">
        <w:rPr>
          <w:lang w:val="en-GB"/>
        </w:rPr>
        <w:t xml:space="preserve">relevant </w:t>
      </w:r>
      <w:r w:rsidR="002E585F">
        <w:rPr>
          <w:lang w:val="en-GB"/>
        </w:rPr>
        <w:t>D</w:t>
      </w:r>
      <w:r w:rsidRPr="00875BCB">
        <w:rPr>
          <w:lang w:val="en-GB"/>
        </w:rPr>
        <w:t>epartment</w:t>
      </w:r>
      <w:r w:rsidR="003D4518">
        <w:rPr>
          <w:lang w:val="en-GB"/>
        </w:rPr>
        <w:t xml:space="preserve"> of Health</w:t>
      </w:r>
      <w:r w:rsidRPr="00875BCB">
        <w:rPr>
          <w:lang w:val="en-GB"/>
        </w:rPr>
        <w:t xml:space="preserve">’s </w:t>
      </w:r>
      <w:r w:rsidR="00012605">
        <w:rPr>
          <w:lang w:val="en-GB"/>
        </w:rPr>
        <w:t xml:space="preserve">(the department) </w:t>
      </w:r>
      <w:hyperlink r:id="rId30" w:history="1">
        <w:r w:rsidRPr="00875BCB">
          <w:rPr>
            <w:rStyle w:val="Hyperlink"/>
            <w:rFonts w:eastAsiaTheme="minorHAnsi"/>
            <w:lang w:eastAsia="en-AU"/>
          </w:rPr>
          <w:t>eLearning cold chain modules</w:t>
        </w:r>
        <w:r w:rsidRPr="00875BCB">
          <w:rPr>
            <w:lang w:val="en-GB"/>
          </w:rPr>
          <w:t>.</w:t>
        </w:r>
      </w:hyperlink>
    </w:p>
    <w:p w14:paraId="52AD10C8" w14:textId="029DE7B9" w:rsidR="007042C9" w:rsidRPr="00123B6B" w:rsidRDefault="007042C9" w:rsidP="007042C9">
      <w:pPr>
        <w:pStyle w:val="Heading2"/>
        <w:rPr>
          <w:color w:val="auto"/>
        </w:rPr>
      </w:pPr>
      <w:r w:rsidRPr="00123B6B">
        <w:rPr>
          <w:color w:val="auto"/>
        </w:rPr>
        <w:t>Avoid vaccine errors</w:t>
      </w:r>
    </w:p>
    <w:p w14:paraId="0B645D1A" w14:textId="41AFE6C9" w:rsidR="007042C9" w:rsidRDefault="007042C9" w:rsidP="007042C9">
      <w:pPr>
        <w:pStyle w:val="Body"/>
        <w:rPr>
          <w:sz w:val="20"/>
          <w:shd w:val="clear" w:color="auto" w:fill="FAF9F8"/>
        </w:rPr>
      </w:pPr>
      <w:r>
        <w:rPr>
          <w:rFonts w:cs="Arial"/>
          <w:color w:val="2A2736"/>
        </w:rPr>
        <w:t>Vaccine errors can occur when a vaccine is incorrectly stored, prepared or given outside the current clinical guidelines, potentially resulting in an </w:t>
      </w:r>
      <w:hyperlink r:id="rId31" w:history="1">
        <w:r w:rsidRPr="007042C9">
          <w:rPr>
            <w:rStyle w:val="Hyperlink"/>
          </w:rPr>
          <w:t>Adverse event following immunisation (AEFI)</w:t>
        </w:r>
      </w:hyperlink>
    </w:p>
    <w:p w14:paraId="5469B394" w14:textId="22FC9A55" w:rsidR="007042C9" w:rsidRPr="00123B6B" w:rsidRDefault="007042C9" w:rsidP="007042C9">
      <w:pPr>
        <w:pStyle w:val="Body"/>
        <w:rPr>
          <w:rFonts w:cs="Arial"/>
          <w:color w:val="2A2736"/>
        </w:rPr>
      </w:pPr>
      <w:r w:rsidRPr="00123B6B">
        <w:rPr>
          <w:rFonts w:cs="Arial"/>
          <w:color w:val="2A2736"/>
        </w:rPr>
        <w:t>T</w:t>
      </w:r>
      <w:r w:rsidR="0011469E">
        <w:rPr>
          <w:rFonts w:cs="Arial"/>
          <w:color w:val="2A2736"/>
        </w:rPr>
        <w:t>ips to</w:t>
      </w:r>
      <w:r w:rsidRPr="00123B6B">
        <w:rPr>
          <w:rFonts w:cs="Arial"/>
          <w:color w:val="2A2736"/>
        </w:rPr>
        <w:t xml:space="preserve"> avoid a </w:t>
      </w:r>
      <w:hyperlink r:id="rId32" w:history="1">
        <w:r w:rsidRPr="00123B6B">
          <w:rPr>
            <w:rFonts w:cs="Arial"/>
            <w:color w:val="2A2736"/>
          </w:rPr>
          <w:t>vaccine error</w:t>
        </w:r>
      </w:hyperlink>
      <w:r w:rsidR="63C30EF7" w:rsidRPr="00123B6B">
        <w:rPr>
          <w:rFonts w:cs="Arial"/>
          <w:color w:val="2A2736"/>
        </w:rPr>
        <w:t>:</w:t>
      </w:r>
    </w:p>
    <w:p w14:paraId="761B1652" w14:textId="2CD5E858" w:rsidR="007042C9" w:rsidRPr="00123B6B" w:rsidRDefault="007042C9" w:rsidP="007042C9">
      <w:pPr>
        <w:pStyle w:val="Body"/>
        <w:numPr>
          <w:ilvl w:val="0"/>
          <w:numId w:val="34"/>
        </w:numPr>
        <w:rPr>
          <w:rFonts w:cs="Arial"/>
          <w:color w:val="2A2736"/>
        </w:rPr>
      </w:pPr>
      <w:r w:rsidRPr="00123B6B">
        <w:rPr>
          <w:rFonts w:cs="Arial"/>
          <w:color w:val="2A2736"/>
        </w:rPr>
        <w:t>ensure Vaxelis® is stored separate from vaccines with similar brand names e.g</w:t>
      </w:r>
      <w:r w:rsidR="00B07FBB" w:rsidRPr="00123B6B">
        <w:rPr>
          <w:rFonts w:cs="Arial"/>
          <w:color w:val="2A2736"/>
        </w:rPr>
        <w:t>.,</w:t>
      </w:r>
      <w:r w:rsidRPr="00123B6B">
        <w:rPr>
          <w:rFonts w:cs="Arial"/>
          <w:color w:val="2A2736"/>
        </w:rPr>
        <w:t xml:space="preserve"> Varivax®, Varilrix®</w:t>
      </w:r>
      <w:r w:rsidR="3A23DE96" w:rsidRPr="00123B6B">
        <w:rPr>
          <w:rFonts w:cs="Arial"/>
          <w:color w:val="2A2736"/>
        </w:rPr>
        <w:t>.</w:t>
      </w:r>
    </w:p>
    <w:p w14:paraId="35A41472" w14:textId="3E281C08" w:rsidR="007042C9" w:rsidRDefault="007042C9" w:rsidP="007042C9">
      <w:pPr>
        <w:pStyle w:val="Body"/>
        <w:numPr>
          <w:ilvl w:val="0"/>
          <w:numId w:val="34"/>
        </w:numPr>
        <w:rPr>
          <w:rFonts w:cs="Arial"/>
          <w:color w:val="2A2736"/>
        </w:rPr>
      </w:pPr>
      <w:r w:rsidRPr="00123B6B">
        <w:rPr>
          <w:rFonts w:cs="Arial"/>
          <w:color w:val="2A2736"/>
        </w:rPr>
        <w:lastRenderedPageBreak/>
        <w:t>recogni</w:t>
      </w:r>
      <w:r w:rsidR="00123B6B" w:rsidRPr="00123B6B">
        <w:rPr>
          <w:rFonts w:cs="Arial"/>
          <w:color w:val="2A2736"/>
        </w:rPr>
        <w:t>s</w:t>
      </w:r>
      <w:r w:rsidRPr="00123B6B">
        <w:rPr>
          <w:rFonts w:cs="Arial"/>
          <w:color w:val="2A2736"/>
        </w:rPr>
        <w:t xml:space="preserve">e and </w:t>
      </w:r>
      <w:hyperlink r:id="rId33" w:history="1">
        <w:r w:rsidRPr="00123B6B">
          <w:rPr>
            <w:rStyle w:val="Hyperlink"/>
          </w:rPr>
          <w:t>report cold chain breaches</w:t>
        </w:r>
      </w:hyperlink>
      <w:r w:rsidRPr="00123B6B">
        <w:rPr>
          <w:rStyle w:val="Hyperlink"/>
        </w:rPr>
        <w:t xml:space="preserve"> to</w:t>
      </w:r>
      <w:r w:rsidRPr="00123B6B">
        <w:rPr>
          <w:rFonts w:cs="Arial"/>
          <w:color w:val="2A2736"/>
        </w:rPr>
        <w:t xml:space="preserve"> the </w:t>
      </w:r>
      <w:r w:rsidR="00296C2C" w:rsidRPr="00123B6B">
        <w:rPr>
          <w:rFonts w:cs="Arial"/>
          <w:color w:val="2A2736"/>
        </w:rPr>
        <w:t>department</w:t>
      </w:r>
      <w:r w:rsidRPr="00123B6B">
        <w:rPr>
          <w:rFonts w:cs="Arial"/>
          <w:color w:val="2A2736"/>
        </w:rPr>
        <w:t xml:space="preserve"> in a timely manner</w:t>
      </w:r>
      <w:r w:rsidR="278688BD" w:rsidRPr="00123B6B">
        <w:rPr>
          <w:rFonts w:cs="Arial"/>
          <w:color w:val="2A2736"/>
        </w:rPr>
        <w:t>.</w:t>
      </w:r>
    </w:p>
    <w:p w14:paraId="23F508C0" w14:textId="77777777" w:rsidR="00DB2BD9" w:rsidRPr="00123B6B" w:rsidRDefault="00DB2BD9" w:rsidP="00DB2BD9">
      <w:pPr>
        <w:pStyle w:val="Body"/>
        <w:numPr>
          <w:ilvl w:val="0"/>
          <w:numId w:val="34"/>
        </w:numPr>
        <w:rPr>
          <w:rFonts w:cs="Arial"/>
          <w:color w:val="2A2736"/>
        </w:rPr>
      </w:pPr>
      <w:r w:rsidRPr="00123B6B">
        <w:rPr>
          <w:rFonts w:cs="Arial"/>
          <w:color w:val="2A2736"/>
        </w:rPr>
        <w:t>be familiar with the six steps to prevent vaccine errors - right person, right vaccine and preparation, right dose, right time, right route and site and right documentation.</w:t>
      </w:r>
    </w:p>
    <w:p w14:paraId="635E20F7" w14:textId="445DF91D" w:rsidR="007A7FD2" w:rsidRPr="00123B6B" w:rsidRDefault="007A7FD2" w:rsidP="007042C9">
      <w:pPr>
        <w:pStyle w:val="Body"/>
        <w:numPr>
          <w:ilvl w:val="0"/>
          <w:numId w:val="34"/>
        </w:numPr>
        <w:rPr>
          <w:rFonts w:cs="Arial"/>
          <w:color w:val="2A2736"/>
        </w:rPr>
      </w:pPr>
      <w:r w:rsidRPr="00123B6B">
        <w:rPr>
          <w:rFonts w:cs="Arial"/>
          <w:color w:val="2A2736"/>
        </w:rPr>
        <w:t xml:space="preserve">refer to </w:t>
      </w:r>
      <w:r w:rsidR="001A39C2" w:rsidRPr="00123B6B">
        <w:rPr>
          <w:rFonts w:cs="Arial"/>
          <w:color w:val="2A2736"/>
        </w:rPr>
        <w:t xml:space="preserve">the department’s </w:t>
      </w:r>
      <w:hyperlink r:id="rId34" w:history="1">
        <w:r w:rsidR="000D55AB" w:rsidRPr="00EE5337">
          <w:rPr>
            <w:rStyle w:val="Hyperlink"/>
            <w:rFonts w:cs="Arial"/>
          </w:rPr>
          <w:t>v</w:t>
        </w:r>
        <w:r w:rsidR="001A39C2" w:rsidRPr="00EE5337">
          <w:rPr>
            <w:rStyle w:val="Hyperlink"/>
            <w:rFonts w:cs="Arial"/>
          </w:rPr>
          <w:t>accine error management web page</w:t>
        </w:r>
      </w:hyperlink>
      <w:r w:rsidR="001A39C2" w:rsidRPr="00123B6B">
        <w:rPr>
          <w:rFonts w:cs="Arial"/>
          <w:color w:val="2A2736"/>
        </w:rPr>
        <w:t xml:space="preserve"> for further information. </w:t>
      </w:r>
    </w:p>
    <w:p w14:paraId="3176DBDF" w14:textId="23C82AA9" w:rsidR="00954FD9" w:rsidRPr="007E2077" w:rsidRDefault="00954FD9" w:rsidP="007E2077">
      <w:pPr>
        <w:pStyle w:val="Heading2"/>
        <w:rPr>
          <w:rFonts w:eastAsia="MS Gothic"/>
          <w:color w:val="auto"/>
        </w:rPr>
      </w:pPr>
      <w:r w:rsidRPr="007E2077">
        <w:rPr>
          <w:rStyle w:val="normaltextrun"/>
          <w:rFonts w:eastAsia="MS Gothic"/>
          <w:color w:val="auto"/>
        </w:rPr>
        <w:t>V</w:t>
      </w:r>
      <w:r w:rsidRPr="007E2077">
        <w:rPr>
          <w:color w:val="auto"/>
        </w:rPr>
        <w:t xml:space="preserve">accine ordering </w:t>
      </w:r>
    </w:p>
    <w:p w14:paraId="3957B0AC" w14:textId="46061BA7" w:rsidR="00BE67AF" w:rsidRDefault="00BE67AF" w:rsidP="00BE67AF">
      <w:pPr>
        <w:rPr>
          <w:rFonts w:ascii="Calibri" w:hAnsi="Calibri"/>
          <w:sz w:val="22"/>
        </w:rPr>
      </w:pPr>
      <w:r>
        <w:t xml:space="preserve">There is no change to </w:t>
      </w:r>
      <w:hyperlink r:id="rId35" w:history="1">
        <w:r w:rsidRPr="008906B8">
          <w:rPr>
            <w:rStyle w:val="Hyperlink"/>
          </w:rPr>
          <w:t>vaccine</w:t>
        </w:r>
        <w:r w:rsidR="00A13898" w:rsidRPr="008906B8">
          <w:rPr>
            <w:rStyle w:val="Hyperlink"/>
          </w:rPr>
          <w:t xml:space="preserve"> ordering</w:t>
        </w:r>
      </w:hyperlink>
      <w:r w:rsidR="00A13898">
        <w:t xml:space="preserve"> requirements</w:t>
      </w:r>
      <w:r>
        <w:t xml:space="preserve">, including DTPa-hepB-IPV-Hib vaccines. </w:t>
      </w:r>
      <w:r w:rsidR="00A13898">
        <w:t>Immunisation p</w:t>
      </w:r>
      <w:r>
        <w:t>roviders should continue to order through the Onelink online platform</w:t>
      </w:r>
      <w:r w:rsidR="00A13898">
        <w:t>,</w:t>
      </w:r>
      <w:r>
        <w:t xml:space="preserve"> using their login.  </w:t>
      </w:r>
    </w:p>
    <w:p w14:paraId="74219A83" w14:textId="53C7374F" w:rsidR="00BE67AF" w:rsidRDefault="00BE67AF" w:rsidP="00BE67AF">
      <w:r>
        <w:t>NIP funded DTPa-hepB-IPV-Hib stock prioritisation</w:t>
      </w:r>
      <w:r w:rsidR="00A13898">
        <w:t>*</w:t>
      </w:r>
      <w:r>
        <w:t>: </w:t>
      </w:r>
    </w:p>
    <w:p w14:paraId="4831803C" w14:textId="04BF7675" w:rsidR="00BE67AF" w:rsidRDefault="00BE67AF" w:rsidP="00BE67AF">
      <w:pPr>
        <w:numPr>
          <w:ilvl w:val="0"/>
          <w:numId w:val="45"/>
        </w:numPr>
        <w:spacing w:after="0" w:line="240" w:lineRule="auto"/>
      </w:pPr>
      <w:r>
        <w:t xml:space="preserve">Infanrix® hexa has been prioritised for councils and </w:t>
      </w:r>
      <w:r w:rsidR="00BD67BC">
        <w:t>hospitals.</w:t>
      </w:r>
    </w:p>
    <w:p w14:paraId="6C8F4089" w14:textId="6133DBCD" w:rsidR="00BE67AF" w:rsidRDefault="00BE67AF" w:rsidP="00BE67AF">
      <w:pPr>
        <w:numPr>
          <w:ilvl w:val="0"/>
          <w:numId w:val="45"/>
        </w:numPr>
        <w:spacing w:after="0" w:line="240" w:lineRule="auto"/>
      </w:pPr>
      <w:r>
        <w:t xml:space="preserve">Vaxelis® has been prioritised for all other immunisation </w:t>
      </w:r>
      <w:r w:rsidR="00BD67BC">
        <w:t>providers.</w:t>
      </w:r>
    </w:p>
    <w:p w14:paraId="72187F0F" w14:textId="77777777" w:rsidR="00EE5337" w:rsidRPr="00EE5337" w:rsidRDefault="00EE5337" w:rsidP="00EE5337">
      <w:pPr>
        <w:spacing w:after="0" w:line="240" w:lineRule="auto"/>
        <w:ind w:left="720"/>
      </w:pPr>
    </w:p>
    <w:p w14:paraId="0E4C03F8" w14:textId="04693531" w:rsidR="006136D8" w:rsidRDefault="00BE67AF" w:rsidP="00BD67BC">
      <w:r>
        <w:t>*Prioritisation is to assist with stock supply</w:t>
      </w:r>
      <w:r w:rsidR="4487CF71">
        <w:t>,</w:t>
      </w:r>
      <w:r>
        <w:t xml:space="preserve"> </w:t>
      </w:r>
      <w:r w:rsidR="4487CF71">
        <w:t>presentation splits</w:t>
      </w:r>
      <w:r>
        <w:t xml:space="preserve"> and brand availability to complete the DTPa-hepB-IPV-Hib vaccination course with the same brand of vaccine. Where an immunisation provider requires the alternative brand to complete a vaccination course, </w:t>
      </w:r>
      <w:r w:rsidR="00A1120A">
        <w:t>they</w:t>
      </w:r>
      <w:r>
        <w:t xml:space="preserve"> </w:t>
      </w:r>
      <w:r w:rsidR="00C87F3C">
        <w:t>can</w:t>
      </w:r>
      <w:r>
        <w:t xml:space="preserve"> request th</w:t>
      </w:r>
      <w:r w:rsidR="00C87F3C">
        <w:t>e appropriate</w:t>
      </w:r>
      <w:r>
        <w:t xml:space="preserve"> </w:t>
      </w:r>
      <w:r w:rsidR="00BE01C6">
        <w:t>via the Onelink online ordering platform</w:t>
      </w:r>
      <w:r>
        <w:t>.</w:t>
      </w:r>
    </w:p>
    <w:p w14:paraId="22EA4DEB" w14:textId="1B6783FE" w:rsidR="00994E1D" w:rsidRPr="002D2702" w:rsidRDefault="00C01A5C" w:rsidP="00994E1D">
      <w:pPr>
        <w:pStyle w:val="Heading2"/>
        <w:rPr>
          <w:rStyle w:val="normaltextrun"/>
          <w:rFonts w:eastAsia="MS Gothic"/>
          <w:color w:val="auto"/>
        </w:rPr>
      </w:pPr>
      <w:bookmarkStart w:id="2" w:name="_Toc125447741"/>
      <w:bookmarkStart w:id="3" w:name="_Hlk125032275"/>
      <w:bookmarkEnd w:id="1"/>
      <w:r w:rsidRPr="240D9216">
        <w:rPr>
          <w:rStyle w:val="normaltextrun"/>
          <w:rFonts w:eastAsia="MS Gothic"/>
          <w:color w:val="auto"/>
        </w:rPr>
        <w:t>I</w:t>
      </w:r>
      <w:r w:rsidR="00245666" w:rsidRPr="240D9216">
        <w:rPr>
          <w:rStyle w:val="normaltextrun"/>
          <w:rFonts w:eastAsia="MS Gothic"/>
          <w:color w:val="auto"/>
        </w:rPr>
        <w:t xml:space="preserve">mmunisation service </w:t>
      </w:r>
      <w:r w:rsidRPr="240D9216">
        <w:rPr>
          <w:rStyle w:val="normaltextrun"/>
          <w:rFonts w:eastAsia="MS Gothic"/>
          <w:color w:val="auto"/>
        </w:rPr>
        <w:t>provider requirements</w:t>
      </w:r>
    </w:p>
    <w:p w14:paraId="2146228A" w14:textId="11A93C46" w:rsidR="00245666" w:rsidRDefault="00245666" w:rsidP="00245666">
      <w:pPr>
        <w:pStyle w:val="Body"/>
        <w:rPr>
          <w:lang w:val="en-US"/>
        </w:rPr>
      </w:pPr>
      <w:r>
        <w:rPr>
          <w:rStyle w:val="Heading2Char"/>
          <w:sz w:val="24"/>
          <w:szCs w:val="24"/>
        </w:rPr>
        <w:t>Report all vaccination</w:t>
      </w:r>
      <w:r w:rsidR="005D77B0">
        <w:rPr>
          <w:rStyle w:val="Heading2Char"/>
          <w:sz w:val="24"/>
          <w:szCs w:val="24"/>
        </w:rPr>
        <w:t>s</w:t>
      </w:r>
      <w:r w:rsidRPr="00A51018">
        <w:rPr>
          <w:rStyle w:val="Heading2Char"/>
          <w:sz w:val="24"/>
          <w:szCs w:val="24"/>
        </w:rPr>
        <w:t xml:space="preserve"> </w:t>
      </w:r>
      <w:r w:rsidR="00367B9F">
        <w:rPr>
          <w:rStyle w:val="Heading2Char"/>
          <w:sz w:val="24"/>
          <w:szCs w:val="24"/>
        </w:rPr>
        <w:t>administered</w:t>
      </w:r>
      <w:r w:rsidRPr="00A51018">
        <w:rPr>
          <w:rStyle w:val="Heading2Char"/>
          <w:sz w:val="24"/>
          <w:szCs w:val="24"/>
        </w:rPr>
        <w:t xml:space="preserve"> to AIR</w:t>
      </w:r>
    </w:p>
    <w:p w14:paraId="1AA7DC34" w14:textId="637F5B17" w:rsidR="00245666" w:rsidRPr="0007047D" w:rsidRDefault="001F0573" w:rsidP="00245666">
      <w:pPr>
        <w:pStyle w:val="Body"/>
        <w:rPr>
          <w:rFonts w:cs="Arial"/>
          <w:lang w:val="en-US"/>
        </w:rPr>
      </w:pPr>
      <w:r>
        <w:rPr>
          <w:rFonts w:cs="Arial"/>
          <w:szCs w:val="21"/>
          <w:lang w:val="en-US"/>
        </w:rPr>
        <w:t>Immunisation p</w:t>
      </w:r>
      <w:r w:rsidR="00245666" w:rsidRPr="004C38EA">
        <w:rPr>
          <w:rFonts w:cs="Arial"/>
          <w:szCs w:val="21"/>
          <w:lang w:val="en-US"/>
        </w:rPr>
        <w:t xml:space="preserve">roviders must report all </w:t>
      </w:r>
      <w:r w:rsidR="00300FBD">
        <w:rPr>
          <w:rFonts w:cs="Arial"/>
          <w:szCs w:val="21"/>
          <w:lang w:val="en-US"/>
        </w:rPr>
        <w:t xml:space="preserve">NIP </w:t>
      </w:r>
      <w:r w:rsidR="00245666" w:rsidRPr="004C38EA">
        <w:rPr>
          <w:rFonts w:cs="Arial"/>
          <w:szCs w:val="21"/>
          <w:lang w:val="en-US"/>
        </w:rPr>
        <w:t>vaccinations given to the Australian Immunisation Register</w:t>
      </w:r>
      <w:r w:rsidR="004E72B7">
        <w:rPr>
          <w:rFonts w:cs="Arial"/>
          <w:szCs w:val="21"/>
          <w:lang w:val="en-US"/>
        </w:rPr>
        <w:t xml:space="preserve"> (AIR)</w:t>
      </w:r>
      <w:r w:rsidR="00245666">
        <w:rPr>
          <w:lang w:val="en-US"/>
        </w:rPr>
        <w:t xml:space="preserve">. </w:t>
      </w:r>
      <w:r w:rsidR="00B634DF">
        <w:rPr>
          <w:lang w:val="en-US"/>
        </w:rPr>
        <w:t>E</w:t>
      </w:r>
      <w:r w:rsidR="00245666" w:rsidRPr="006C7A39">
        <w:rPr>
          <w:lang w:val="en-US"/>
        </w:rPr>
        <w:t>nsure</w:t>
      </w:r>
      <w:r w:rsidR="00245666">
        <w:rPr>
          <w:lang w:val="en-US"/>
        </w:rPr>
        <w:t xml:space="preserve"> clinical practice </w:t>
      </w:r>
      <w:r w:rsidR="00245666" w:rsidRPr="006C7A39">
        <w:rPr>
          <w:lang w:val="en-US"/>
        </w:rPr>
        <w:t xml:space="preserve">software reporting program </w:t>
      </w:r>
      <w:r w:rsidR="00245666">
        <w:rPr>
          <w:lang w:val="en-US"/>
        </w:rPr>
        <w:t xml:space="preserve">is updated to </w:t>
      </w:r>
      <w:r w:rsidR="00245666" w:rsidRPr="006C7A39">
        <w:rPr>
          <w:lang w:val="en-US"/>
        </w:rPr>
        <w:t>include Vaxelis</w:t>
      </w:r>
      <w:r w:rsidR="00245666">
        <w:rPr>
          <w:rFonts w:cs="Arial"/>
          <w:lang w:val="en-US"/>
        </w:rPr>
        <w:t>®.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701"/>
      </w:tblGrid>
      <w:tr w:rsidR="00245666" w14:paraId="72460DD9" w14:textId="77777777" w:rsidTr="00B7576A">
        <w:trPr>
          <w:tblHeader/>
        </w:trPr>
        <w:tc>
          <w:tcPr>
            <w:tcW w:w="2400" w:type="dxa"/>
            <w:tcBorders>
              <w:top w:val="single" w:sz="8" w:space="0" w:color="75787B"/>
              <w:left w:val="single" w:sz="8" w:space="0" w:color="75787B"/>
              <w:bottom w:val="single" w:sz="8" w:space="0" w:color="75787B"/>
              <w:right w:val="single" w:sz="8" w:space="0" w:color="75787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78917" w14:textId="77777777" w:rsidR="00245666" w:rsidRPr="00EA05A2" w:rsidRDefault="00245666" w:rsidP="00EA05A2">
            <w:pPr>
              <w:pStyle w:val="Tabletext"/>
              <w:rPr>
                <w:b/>
                <w:bCs/>
              </w:rPr>
            </w:pPr>
            <w:r w:rsidRPr="00EA05A2">
              <w:rPr>
                <w:b/>
                <w:bCs/>
              </w:rPr>
              <w:t>Vaccine/Brand Name</w:t>
            </w:r>
          </w:p>
        </w:tc>
        <w:tc>
          <w:tcPr>
            <w:tcW w:w="1701" w:type="dxa"/>
            <w:tcBorders>
              <w:top w:val="single" w:sz="8" w:space="0" w:color="75787B"/>
              <w:left w:val="nil"/>
              <w:bottom w:val="single" w:sz="8" w:space="0" w:color="75787B"/>
              <w:right w:val="single" w:sz="8" w:space="0" w:color="75787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2F4CD" w14:textId="77777777" w:rsidR="00245666" w:rsidRPr="00EA05A2" w:rsidRDefault="00245666" w:rsidP="00EA05A2">
            <w:pPr>
              <w:pStyle w:val="Tabletext"/>
              <w:rPr>
                <w:b/>
                <w:bCs/>
              </w:rPr>
            </w:pPr>
            <w:r w:rsidRPr="00EA05A2">
              <w:rPr>
                <w:b/>
                <w:bCs/>
              </w:rPr>
              <w:t>Vaccine Code</w:t>
            </w:r>
          </w:p>
        </w:tc>
      </w:tr>
      <w:tr w:rsidR="00245666" w14:paraId="7D0285DF" w14:textId="77777777" w:rsidTr="00B7576A">
        <w:tc>
          <w:tcPr>
            <w:tcW w:w="2400" w:type="dxa"/>
            <w:tcBorders>
              <w:top w:val="nil"/>
              <w:left w:val="single" w:sz="8" w:space="0" w:color="75787B"/>
              <w:bottom w:val="single" w:sz="8" w:space="0" w:color="75787B"/>
              <w:right w:val="single" w:sz="8" w:space="0" w:color="75787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E3293" w14:textId="77777777" w:rsidR="00245666" w:rsidRDefault="00245666" w:rsidP="00EA05A2">
            <w:pPr>
              <w:pStyle w:val="Tabletext"/>
            </w:pPr>
            <w:r>
              <w:t>Vaxelis</w:t>
            </w:r>
            <w:r>
              <w:rPr>
                <w:rFonts w:cs="Arial"/>
              </w:rPr>
              <w:t>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5787B"/>
              <w:right w:val="single" w:sz="8" w:space="0" w:color="75787B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6F283" w14:textId="77777777" w:rsidR="00245666" w:rsidRDefault="00245666" w:rsidP="00EA05A2">
            <w:pPr>
              <w:pStyle w:val="Tabletext"/>
            </w:pPr>
            <w:r>
              <w:t>VAXLIS</w:t>
            </w:r>
          </w:p>
        </w:tc>
      </w:tr>
    </w:tbl>
    <w:p w14:paraId="74B0C3BF" w14:textId="5CE5BF87" w:rsidR="00B31F42" w:rsidRPr="002A657E" w:rsidRDefault="00A04551" w:rsidP="00B31F42">
      <w:pPr>
        <w:pStyle w:val="Heading2"/>
        <w:rPr>
          <w:sz w:val="24"/>
          <w:szCs w:val="24"/>
          <w:lang w:val="en-US"/>
        </w:rPr>
      </w:pPr>
      <w:r w:rsidRPr="240D9216">
        <w:rPr>
          <w:sz w:val="24"/>
          <w:szCs w:val="24"/>
          <w:lang w:val="en-US"/>
        </w:rPr>
        <w:t>U</w:t>
      </w:r>
      <w:r w:rsidR="00B31F42" w:rsidRPr="240D9216">
        <w:rPr>
          <w:sz w:val="24"/>
          <w:szCs w:val="24"/>
          <w:lang w:val="en-US"/>
        </w:rPr>
        <w:t>pdate immunisation service information</w:t>
      </w:r>
    </w:p>
    <w:p w14:paraId="1CAB5A37" w14:textId="38A50C09" w:rsidR="00B31F42" w:rsidRPr="00EA05A2" w:rsidRDefault="00960DEF" w:rsidP="00EA05A2">
      <w:pPr>
        <w:pStyle w:val="Body"/>
      </w:pPr>
      <w:r>
        <w:t>Where applicable,</w:t>
      </w:r>
      <w:r w:rsidR="008A2C39" w:rsidRPr="00EA05A2">
        <w:t xml:space="preserve"> </w:t>
      </w:r>
      <w:r w:rsidR="00B31F42" w:rsidRPr="00EA05A2">
        <w:t>update immunisation resources to reflect the introduction of Vaxelis® to the NIP.</w:t>
      </w:r>
    </w:p>
    <w:p w14:paraId="7CDE29D6" w14:textId="28DF4134" w:rsidR="00AE57DC" w:rsidRDefault="00A04551" w:rsidP="007D026C">
      <w:pPr>
        <w:pStyle w:val="Body"/>
        <w:spacing w:before="240" w:after="90"/>
        <w:rPr>
          <w:rStyle w:val="Heading2Char"/>
          <w:sz w:val="24"/>
          <w:szCs w:val="24"/>
        </w:rPr>
      </w:pPr>
      <w:r w:rsidRPr="240D9216">
        <w:rPr>
          <w:rStyle w:val="Heading2Char"/>
          <w:sz w:val="24"/>
          <w:szCs w:val="24"/>
        </w:rPr>
        <w:t>F</w:t>
      </w:r>
      <w:r w:rsidR="7977126C" w:rsidRPr="240D9216">
        <w:rPr>
          <w:rStyle w:val="Heading2Char"/>
          <w:sz w:val="24"/>
          <w:szCs w:val="24"/>
        </w:rPr>
        <w:t>urther information</w:t>
      </w:r>
      <w:r w:rsidR="003D0935" w:rsidRPr="240D9216">
        <w:rPr>
          <w:rStyle w:val="Heading2Char"/>
          <w:sz w:val="24"/>
          <w:szCs w:val="24"/>
        </w:rPr>
        <w:t>?</w:t>
      </w:r>
      <w:bookmarkEnd w:id="2"/>
    </w:p>
    <w:bookmarkEnd w:id="3"/>
    <w:p w14:paraId="7FC43684" w14:textId="795A8753" w:rsidR="008801F1" w:rsidRPr="00AE57DC" w:rsidRDefault="00E077EA" w:rsidP="00504B16">
      <w:pPr>
        <w:pStyle w:val="Body"/>
        <w:rPr>
          <w:b/>
          <w:color w:val="53565A"/>
          <w:sz w:val="24"/>
          <w:szCs w:val="24"/>
        </w:rPr>
      </w:pPr>
      <w:r w:rsidRPr="00191BA0">
        <w:rPr>
          <w:szCs w:val="21"/>
        </w:rPr>
        <w:t xml:space="preserve">Please </w:t>
      </w:r>
      <w:hyperlink r:id="rId36" w:history="1">
        <w:r w:rsidR="00191BA0">
          <w:rPr>
            <w:rStyle w:val="Hyperlink"/>
            <w:szCs w:val="21"/>
          </w:rPr>
          <w:t>email</w:t>
        </w:r>
      </w:hyperlink>
      <w:r w:rsidR="000814F5" w:rsidRPr="00191BA0">
        <w:rPr>
          <w:szCs w:val="21"/>
        </w:rPr>
        <w:t xml:space="preserve"> </w:t>
      </w:r>
      <w:r w:rsidR="00191BA0">
        <w:rPr>
          <w:szCs w:val="21"/>
        </w:rPr>
        <w:t xml:space="preserve">the Immunisation Unit </w:t>
      </w:r>
      <w:r w:rsidR="000814F5" w:rsidRPr="00191BA0">
        <w:rPr>
          <w:szCs w:val="21"/>
        </w:rPr>
        <w:t xml:space="preserve">&lt;immunisation@health.vic.gov.au </w:t>
      </w:r>
      <w:r w:rsidRPr="00191BA0">
        <w:rPr>
          <w:szCs w:val="21"/>
        </w:rPr>
        <w:t>if</w:t>
      </w:r>
      <w:r w:rsidRPr="00E077EA">
        <w:t xml:space="preserve"> you have any further enquiries</w:t>
      </w:r>
      <w:r w:rsidR="005B5B06">
        <w:t>.</w:t>
      </w:r>
      <w:r w:rsidRPr="00E077EA">
        <w:t xml:space="preserve"> </w:t>
      </w:r>
    </w:p>
    <w:p w14:paraId="7940A3E9" w14:textId="5133537F" w:rsidR="00F42C73" w:rsidRPr="008A2C39" w:rsidRDefault="00A04551" w:rsidP="240D9216">
      <w:pPr>
        <w:pStyle w:val="Heading2"/>
        <w:rPr>
          <w:color w:val="auto"/>
          <w:lang w:val="en-US"/>
        </w:rPr>
      </w:pPr>
      <w:r w:rsidRPr="240D9216">
        <w:rPr>
          <w:color w:val="auto"/>
          <w:lang w:val="en-US"/>
        </w:rPr>
        <w:t>R</w:t>
      </w:r>
      <w:r w:rsidR="00F42C73" w:rsidRPr="240D9216">
        <w:rPr>
          <w:color w:val="auto"/>
          <w:lang w:val="en-US"/>
        </w:rPr>
        <w:t xml:space="preserve">esources </w:t>
      </w:r>
    </w:p>
    <w:p w14:paraId="6E0C8694" w14:textId="746FBC36" w:rsidR="001F4578" w:rsidRDefault="00062AA3" w:rsidP="009A3DDF">
      <w:pPr>
        <w:pStyle w:val="Body"/>
        <w:numPr>
          <w:ilvl w:val="0"/>
          <w:numId w:val="47"/>
        </w:numPr>
        <w:rPr>
          <w:lang w:val="en-US"/>
        </w:rPr>
      </w:pPr>
      <w:hyperlink r:id="rId37" w:history="1">
        <w:r w:rsidR="008D388B" w:rsidRPr="001F4578">
          <w:rPr>
            <w:rStyle w:val="Hyperlink"/>
            <w:lang w:val="en-US"/>
          </w:rPr>
          <w:t>Department of Health</w:t>
        </w:r>
        <w:r w:rsidR="001F4578" w:rsidRPr="001F4578">
          <w:rPr>
            <w:rStyle w:val="Hyperlink"/>
            <w:lang w:val="en-US"/>
          </w:rPr>
          <w:t xml:space="preserve"> Victoria - Immunisation</w:t>
        </w:r>
      </w:hyperlink>
      <w:r w:rsidR="001F4578" w:rsidRPr="001F4578">
        <w:rPr>
          <w:lang w:val="en-US"/>
        </w:rPr>
        <w:t xml:space="preserve"> </w:t>
      </w:r>
    </w:p>
    <w:p w14:paraId="5D326A90" w14:textId="576DA149" w:rsidR="00CA573A" w:rsidRPr="00CA573A" w:rsidRDefault="00062AA3" w:rsidP="009A3DDF">
      <w:pPr>
        <w:pStyle w:val="Body"/>
        <w:numPr>
          <w:ilvl w:val="0"/>
          <w:numId w:val="47"/>
        </w:numPr>
        <w:rPr>
          <w:lang w:val="en-US"/>
        </w:rPr>
      </w:pPr>
      <w:hyperlink r:id="rId38" w:history="1">
        <w:r w:rsidR="00036AFC" w:rsidRPr="00CA573A">
          <w:rPr>
            <w:rStyle w:val="Hyperlink"/>
            <w:lang w:val="en-US"/>
          </w:rPr>
          <w:t>Australia</w:t>
        </w:r>
        <w:r w:rsidR="009E2D2E" w:rsidRPr="00CA573A">
          <w:rPr>
            <w:rStyle w:val="Hyperlink"/>
            <w:lang w:val="en-US"/>
          </w:rPr>
          <w:t xml:space="preserve">n Government </w:t>
        </w:r>
        <w:r w:rsidR="00543399" w:rsidRPr="00CA573A">
          <w:rPr>
            <w:rStyle w:val="Hyperlink"/>
            <w:lang w:val="en-US"/>
          </w:rPr>
          <w:t>Department of Health and Aged C</w:t>
        </w:r>
        <w:r w:rsidR="00CA573A" w:rsidRPr="00CA573A">
          <w:rPr>
            <w:rStyle w:val="Hyperlink"/>
            <w:lang w:val="en-US"/>
          </w:rPr>
          <w:t>are – Immunisation</w:t>
        </w:r>
      </w:hyperlink>
      <w:r w:rsidR="00CA573A" w:rsidRPr="00CA573A">
        <w:rPr>
          <w:lang w:val="en-US"/>
        </w:rPr>
        <w:t xml:space="preserve"> </w:t>
      </w:r>
    </w:p>
    <w:p w14:paraId="097F404C" w14:textId="6DA36B4C" w:rsidR="00D34F90" w:rsidRPr="008A2C39" w:rsidRDefault="00062AA3" w:rsidP="009A3DDF">
      <w:pPr>
        <w:pStyle w:val="ListParagraph"/>
        <w:numPr>
          <w:ilvl w:val="0"/>
          <w:numId w:val="47"/>
        </w:numPr>
        <w:rPr>
          <w:rFonts w:ascii="Calibri" w:hAnsi="Calibri"/>
          <w:sz w:val="22"/>
        </w:rPr>
      </w:pPr>
      <w:hyperlink r:id="rId39" w:history="1">
        <w:r w:rsidR="00D34F90" w:rsidRPr="00BC54E1">
          <w:rPr>
            <w:rStyle w:val="Hyperlink"/>
          </w:rPr>
          <w:t>Australian Immunis</w:t>
        </w:r>
        <w:r w:rsidR="003D28E4" w:rsidRPr="00BC54E1">
          <w:rPr>
            <w:rStyle w:val="Hyperlink"/>
          </w:rPr>
          <w:t>a</w:t>
        </w:r>
        <w:r w:rsidR="00D34F90" w:rsidRPr="00BC54E1">
          <w:rPr>
            <w:rStyle w:val="Hyperlink"/>
          </w:rPr>
          <w:t xml:space="preserve">tion Register </w:t>
        </w:r>
        <w:r w:rsidR="00881C82" w:rsidRPr="00BC54E1">
          <w:rPr>
            <w:rStyle w:val="Hyperlink"/>
          </w:rPr>
          <w:t xml:space="preserve">vaccine </w:t>
        </w:r>
        <w:r w:rsidR="003D28E4" w:rsidRPr="00BC54E1">
          <w:rPr>
            <w:rStyle w:val="Hyperlink"/>
          </w:rPr>
          <w:t>c</w:t>
        </w:r>
        <w:r w:rsidR="00D34F90" w:rsidRPr="00BC54E1">
          <w:rPr>
            <w:rStyle w:val="Hyperlink"/>
          </w:rPr>
          <w:t>ode</w:t>
        </w:r>
        <w:r w:rsidR="00881C82" w:rsidRPr="00BC54E1">
          <w:rPr>
            <w:rStyle w:val="Hyperlink"/>
          </w:rPr>
          <w:t xml:space="preserve"> formats</w:t>
        </w:r>
      </w:hyperlink>
      <w:r w:rsidR="00D34F90">
        <w:t xml:space="preserve"> </w:t>
      </w:r>
    </w:p>
    <w:p w14:paraId="4EFA5256" w14:textId="5B84DCE5" w:rsidR="00834724" w:rsidRPr="00F70674" w:rsidRDefault="00062AA3" w:rsidP="009A3DDF">
      <w:pPr>
        <w:pStyle w:val="Body"/>
        <w:numPr>
          <w:ilvl w:val="0"/>
          <w:numId w:val="47"/>
        </w:numPr>
        <w:rPr>
          <w:lang w:val="en-US"/>
        </w:rPr>
      </w:pPr>
      <w:hyperlink r:id="rId40" w:history="1">
        <w:r w:rsidR="00834724" w:rsidRPr="00F70674">
          <w:rPr>
            <w:rStyle w:val="Hyperlink"/>
            <w:lang w:val="en-US"/>
          </w:rPr>
          <w:t xml:space="preserve">Australian Immunisation </w:t>
        </w:r>
        <w:r w:rsidR="00505C1D" w:rsidRPr="00F70674">
          <w:rPr>
            <w:rStyle w:val="Hyperlink"/>
            <w:lang w:val="en-US"/>
          </w:rPr>
          <w:t>Handbook</w:t>
        </w:r>
        <w:r w:rsidR="00F70674" w:rsidRPr="00F70674">
          <w:rPr>
            <w:rStyle w:val="Hyperlink"/>
            <w:lang w:val="en-US"/>
          </w:rPr>
          <w:t xml:space="preserve"> - Vaxelis</w:t>
        </w:r>
        <w:r w:rsidR="00F70674" w:rsidRPr="00F70674">
          <w:rPr>
            <w:rStyle w:val="Hyperlink"/>
            <w:rFonts w:cs="Arial"/>
            <w:lang w:val="en-US"/>
          </w:rPr>
          <w:t>®</w:t>
        </w:r>
        <w:r w:rsidR="00F70674" w:rsidRPr="00F70674">
          <w:rPr>
            <w:rStyle w:val="Hyperlink"/>
            <w:lang w:val="en-US"/>
          </w:rPr>
          <w:t xml:space="preserve"> </w:t>
        </w:r>
        <w:r w:rsidR="00BA4B60">
          <w:rPr>
            <w:rStyle w:val="Hyperlink"/>
            <w:lang w:val="en-US"/>
          </w:rPr>
          <w:t>p</w:t>
        </w:r>
        <w:r w:rsidR="00F70674" w:rsidRPr="00F70674">
          <w:rPr>
            <w:rStyle w:val="Hyperlink"/>
            <w:lang w:val="en-US"/>
          </w:rPr>
          <w:t>roduct information</w:t>
        </w:r>
      </w:hyperlink>
      <w:r w:rsidR="00F70674" w:rsidRPr="00F70674">
        <w:rPr>
          <w:lang w:val="en-US"/>
        </w:rPr>
        <w:t xml:space="preserve"> </w:t>
      </w:r>
    </w:p>
    <w:p w14:paraId="0CED2D39" w14:textId="459D78F6" w:rsidR="00AA0DBF" w:rsidRDefault="00062AA3" w:rsidP="009A3DDF">
      <w:pPr>
        <w:pStyle w:val="Body"/>
        <w:numPr>
          <w:ilvl w:val="0"/>
          <w:numId w:val="47"/>
        </w:numPr>
        <w:rPr>
          <w:rStyle w:val="Hyperlink"/>
          <w:lang w:val="en-US"/>
        </w:rPr>
      </w:pPr>
      <w:hyperlink r:id="rId41" w:history="1">
        <w:r w:rsidR="00505C1D" w:rsidRPr="00505C1D">
          <w:rPr>
            <w:rStyle w:val="Hyperlink"/>
            <w:lang w:val="en-US"/>
          </w:rPr>
          <w:t>Better Health Channel – childhood immunisation</w:t>
        </w:r>
      </w:hyperlink>
    </w:p>
    <w:p w14:paraId="4DEBB9F4" w14:textId="77777777" w:rsidR="0038232B" w:rsidRDefault="0038232B" w:rsidP="0038232B">
      <w:pPr>
        <w:pStyle w:val="Body"/>
        <w:ind w:left="720"/>
        <w:rPr>
          <w:rStyle w:val="Hyperlink"/>
          <w:lang w:val="en-US"/>
        </w:rPr>
      </w:pPr>
    </w:p>
    <w:tbl>
      <w:tblPr>
        <w:tblStyle w:val="GridTable4-Accent1"/>
        <w:tblW w:w="10404" w:type="dxa"/>
        <w:tblLook w:val="0600" w:firstRow="0" w:lastRow="0" w:firstColumn="0" w:lastColumn="0" w:noHBand="1" w:noVBand="1"/>
      </w:tblPr>
      <w:tblGrid>
        <w:gridCol w:w="10404"/>
      </w:tblGrid>
      <w:tr w:rsidR="0055119B" w14:paraId="5DAEAB8D" w14:textId="77777777" w:rsidTr="00D47F85">
        <w:trPr>
          <w:trHeight w:val="826"/>
        </w:trPr>
        <w:tc>
          <w:tcPr>
            <w:tcW w:w="10404" w:type="dxa"/>
          </w:tcPr>
          <w:p w14:paraId="2ED5DDE7" w14:textId="48C8730A" w:rsidR="0055119B" w:rsidRDefault="00620C0B" w:rsidP="000D008C">
            <w:pPr>
              <w:pStyle w:val="Imprint"/>
              <w:spacing w:before="120" w:after="120" w:line="240" w:lineRule="atLeast"/>
            </w:pPr>
            <w:bookmarkStart w:id="4" w:name="_Hlk37240926"/>
            <w:r w:rsidRPr="00E36365">
              <w:rPr>
                <w:szCs w:val="16"/>
              </w:rPr>
              <w:t xml:space="preserve">To receive this document in another format, </w:t>
            </w:r>
            <w:hyperlink r:id="rId42" w:history="1">
              <w:r w:rsidRPr="00E36365">
                <w:rPr>
                  <w:rStyle w:val="Hyperlink"/>
                  <w:szCs w:val="16"/>
                </w:rPr>
                <w:t>email Immunisation Unit</w:t>
              </w:r>
            </w:hyperlink>
            <w:r w:rsidRPr="00E36365">
              <w:rPr>
                <w:szCs w:val="16"/>
              </w:rPr>
              <w:t xml:space="preserve"> &lt;immunisation@</w:t>
            </w:r>
            <w:r>
              <w:rPr>
                <w:szCs w:val="16"/>
              </w:rPr>
              <w:t>health</w:t>
            </w:r>
            <w:r w:rsidRPr="00E36365">
              <w:rPr>
                <w:szCs w:val="16"/>
              </w:rPr>
              <w:t>.vic.gov.au&gt;.</w:t>
            </w:r>
            <w:r w:rsidR="0038232B" w:rsidRPr="00ED743D">
              <w:t xml:space="preserve"> </w:t>
            </w:r>
            <w:r w:rsidR="0055119B" w:rsidRPr="00ED743D">
              <w:t>Authorised and published by the Victorian Government, 1 Treasury Place, Melbourne.</w:t>
            </w:r>
            <w:r w:rsidR="0038232B" w:rsidRPr="00ED743D">
              <w:rPr>
                <w:color w:val="auto"/>
              </w:rPr>
              <w:t xml:space="preserve"> </w:t>
            </w:r>
            <w:r w:rsidR="0055119B" w:rsidRPr="00ED743D">
              <w:rPr>
                <w:color w:val="auto"/>
              </w:rPr>
              <w:t xml:space="preserve">© State of Victoria, </w:t>
            </w:r>
            <w:r w:rsidR="0055119B" w:rsidRPr="141C10A1">
              <w:rPr>
                <w:color w:val="auto"/>
              </w:rPr>
              <w:t>Aust</w:t>
            </w:r>
            <w:r w:rsidR="2B688269" w:rsidRPr="141C10A1">
              <w:rPr>
                <w:color w:val="auto"/>
              </w:rPr>
              <w:t>r</w:t>
            </w:r>
            <w:r w:rsidR="0055119B" w:rsidRPr="141C10A1">
              <w:rPr>
                <w:color w:val="auto"/>
              </w:rPr>
              <w:t>alia</w:t>
            </w:r>
            <w:r w:rsidR="0055119B" w:rsidRPr="00ED743D">
              <w:rPr>
                <w:color w:val="auto"/>
              </w:rPr>
              <w:t xml:space="preserve">, </w:t>
            </w:r>
            <w:r w:rsidR="001E2A36" w:rsidRPr="00ED743D">
              <w:rPr>
                <w:color w:val="auto"/>
              </w:rPr>
              <w:t>Department of Health</w:t>
            </w:r>
            <w:r w:rsidR="0055119B" w:rsidRPr="00ED743D">
              <w:rPr>
                <w:color w:val="auto"/>
              </w:rPr>
              <w:t xml:space="preserve">, </w:t>
            </w:r>
            <w:r w:rsidR="00504B16" w:rsidRPr="00ED743D">
              <w:rPr>
                <w:color w:val="auto"/>
              </w:rPr>
              <w:t>Ju</w:t>
            </w:r>
            <w:r w:rsidR="00D82183">
              <w:rPr>
                <w:color w:val="auto"/>
              </w:rPr>
              <w:t>ly</w:t>
            </w:r>
            <w:r w:rsidR="009D167D" w:rsidRPr="00ED743D">
              <w:rPr>
                <w:color w:val="auto"/>
              </w:rPr>
              <w:t xml:space="preserve"> 2023</w:t>
            </w:r>
            <w:r w:rsidR="0055119B" w:rsidRPr="00ED743D">
              <w:t>.</w:t>
            </w:r>
          </w:p>
        </w:tc>
      </w:tr>
      <w:bookmarkEnd w:id="4"/>
    </w:tbl>
    <w:p w14:paraId="10F828C0" w14:textId="77777777" w:rsidR="00162CA9" w:rsidRDefault="00162CA9" w:rsidP="00162CA9">
      <w:pPr>
        <w:pStyle w:val="Body"/>
      </w:pPr>
    </w:p>
    <w:sectPr w:rsidR="00162CA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92B3" w14:textId="77777777" w:rsidR="00D96225" w:rsidRDefault="00D96225">
      <w:r>
        <w:separator/>
      </w:r>
    </w:p>
  </w:endnote>
  <w:endnote w:type="continuationSeparator" w:id="0">
    <w:p w14:paraId="5F015DC2" w14:textId="77777777" w:rsidR="00D96225" w:rsidRDefault="00D96225">
      <w:r>
        <w:continuationSeparator/>
      </w:r>
    </w:p>
  </w:endnote>
  <w:endnote w:type="continuationNotice" w:id="1">
    <w:p w14:paraId="33DC5F23" w14:textId="77777777" w:rsidR="00D96225" w:rsidRDefault="00D96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045F" w14:textId="77777777" w:rsidR="00062AA3" w:rsidRDefault="00062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E9F1" w14:textId="19564FAB" w:rsidR="00FF56C7" w:rsidRDefault="009553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F3B2193" wp14:editId="1C690B7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2d0844b2aeaf787a7ab4c95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E7AD95" w14:textId="1D2C44C0" w:rsidR="00955342" w:rsidRPr="00955342" w:rsidRDefault="00955342" w:rsidP="0095534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534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B2193" id="_x0000_t202" coordsize="21600,21600" o:spt="202" path="m,l,21600r21600,l21600,xe">
              <v:stroke joinstyle="miter"/>
              <v:path gradientshapeok="t" o:connecttype="rect"/>
            </v:shapetype>
            <v:shape id="MSIPCM2d0844b2aeaf787a7ab4c95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EE7AD95" w14:textId="1D2C44C0" w:rsidR="00955342" w:rsidRPr="00955342" w:rsidRDefault="00955342" w:rsidP="0095534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534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6C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D3BDAD4" wp14:editId="65D9E1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2E009C" w14:textId="0FA08430" w:rsidR="00FF56C7" w:rsidRPr="00FF56C7" w:rsidRDefault="00FF56C7" w:rsidP="00FF56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56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3BDAD4"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82E009C" w14:textId="0FA08430" w:rsidR="00FF56C7" w:rsidRPr="00FF56C7" w:rsidRDefault="00FF56C7" w:rsidP="00FF56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56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C4D9" w14:textId="77777777" w:rsidR="00062AA3" w:rsidRDefault="00062A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7B3" w14:textId="6916E5E8" w:rsidR="00373890" w:rsidRPr="00F65AA9" w:rsidRDefault="0095534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E7EDEB5" wp14:editId="3A2CD8F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98d4210813a76724df18de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05A962" w14:textId="08D1F944" w:rsidR="00955342" w:rsidRPr="00955342" w:rsidRDefault="00955342" w:rsidP="0095534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5534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EDEB5" id="_x0000_t202" coordsize="21600,21600" o:spt="202" path="m,l,21600r21600,l21600,xe">
              <v:stroke joinstyle="miter"/>
              <v:path gradientshapeok="t" o:connecttype="rect"/>
            </v:shapetype>
            <v:shape id="MSIPCM498d4210813a76724df18de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05A962" w14:textId="08D1F944" w:rsidR="00955342" w:rsidRPr="00955342" w:rsidRDefault="00955342" w:rsidP="0095534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5534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6C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61F744" wp14:editId="58C7C00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09245" w14:textId="00680F3D" w:rsidR="00FF56C7" w:rsidRPr="00FF56C7" w:rsidRDefault="00FF56C7" w:rsidP="00FF56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56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1F744" id="Text Box 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5209245" w14:textId="00680F3D" w:rsidR="00FF56C7" w:rsidRPr="00FF56C7" w:rsidRDefault="00FF56C7" w:rsidP="00FF56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56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5629" w14:textId="77777777" w:rsidR="00D96225" w:rsidRDefault="00D96225" w:rsidP="002862F1">
      <w:pPr>
        <w:spacing w:before="120"/>
      </w:pPr>
      <w:r>
        <w:separator/>
      </w:r>
    </w:p>
  </w:footnote>
  <w:footnote w:type="continuationSeparator" w:id="0">
    <w:p w14:paraId="4DC4BDC2" w14:textId="77777777" w:rsidR="00D96225" w:rsidRDefault="00D96225">
      <w:r>
        <w:continuationSeparator/>
      </w:r>
    </w:p>
  </w:footnote>
  <w:footnote w:type="continuationNotice" w:id="1">
    <w:p w14:paraId="0745949B" w14:textId="77777777" w:rsidR="00D96225" w:rsidRDefault="00D962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4C7F" w14:textId="77777777" w:rsidR="00062AA3" w:rsidRDefault="00062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9A80" w14:textId="5B5C041B" w:rsidR="00EC40D5" w:rsidRDefault="000E3E73" w:rsidP="00EC40D5">
    <w:pPr>
      <w:pStyle w:val="Header"/>
      <w:spacing w:after="0"/>
    </w:pPr>
    <w:r>
      <w:t>Vaxelis vaccine – Factsheet for immunisation providers July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43E1" w14:textId="77777777" w:rsidR="00062AA3" w:rsidRDefault="00062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046"/>
    <w:multiLevelType w:val="hybridMultilevel"/>
    <w:tmpl w:val="A1164B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C08D8"/>
    <w:multiLevelType w:val="hybridMultilevel"/>
    <w:tmpl w:val="0150B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7475312"/>
    <w:multiLevelType w:val="multilevel"/>
    <w:tmpl w:val="5E86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762A9"/>
    <w:multiLevelType w:val="multilevel"/>
    <w:tmpl w:val="7048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FE2D72"/>
    <w:multiLevelType w:val="hybridMultilevel"/>
    <w:tmpl w:val="654C9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3DB"/>
    <w:multiLevelType w:val="multilevel"/>
    <w:tmpl w:val="1D06E7FE"/>
    <w:numStyleLink w:val="ZZNumbersdigit"/>
  </w:abstractNum>
  <w:abstractNum w:abstractNumId="7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CCC179C"/>
    <w:multiLevelType w:val="hybridMultilevel"/>
    <w:tmpl w:val="C39CF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30FCF"/>
    <w:multiLevelType w:val="multilevel"/>
    <w:tmpl w:val="38A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143FEC"/>
    <w:multiLevelType w:val="multilevel"/>
    <w:tmpl w:val="094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2231E0"/>
    <w:multiLevelType w:val="hybridMultilevel"/>
    <w:tmpl w:val="441AE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51208"/>
    <w:multiLevelType w:val="hybridMultilevel"/>
    <w:tmpl w:val="70CA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84807"/>
    <w:multiLevelType w:val="hybridMultilevel"/>
    <w:tmpl w:val="DE5E59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794F1B"/>
    <w:multiLevelType w:val="multilevel"/>
    <w:tmpl w:val="0BD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2A3703"/>
    <w:multiLevelType w:val="multilevel"/>
    <w:tmpl w:val="57D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762486"/>
    <w:multiLevelType w:val="multilevel"/>
    <w:tmpl w:val="9DF085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7911CE9"/>
    <w:multiLevelType w:val="hybridMultilevel"/>
    <w:tmpl w:val="A80AF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432B0"/>
    <w:multiLevelType w:val="multilevel"/>
    <w:tmpl w:val="8602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4D0EEA"/>
    <w:multiLevelType w:val="multilevel"/>
    <w:tmpl w:val="CF7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D858BB"/>
    <w:multiLevelType w:val="multilevel"/>
    <w:tmpl w:val="9C7E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B06E9E"/>
    <w:multiLevelType w:val="hybridMultilevel"/>
    <w:tmpl w:val="CCB03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20820"/>
    <w:multiLevelType w:val="hybridMultilevel"/>
    <w:tmpl w:val="B9660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A4270"/>
    <w:multiLevelType w:val="hybridMultilevel"/>
    <w:tmpl w:val="1D9A1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F816F01"/>
    <w:multiLevelType w:val="hybridMultilevel"/>
    <w:tmpl w:val="92ECD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90026"/>
    <w:multiLevelType w:val="hybridMultilevel"/>
    <w:tmpl w:val="D1240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62B85"/>
    <w:multiLevelType w:val="hybridMultilevel"/>
    <w:tmpl w:val="8D9AE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46A1D"/>
    <w:multiLevelType w:val="multilevel"/>
    <w:tmpl w:val="FFFFFFFF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01E77"/>
    <w:multiLevelType w:val="hybridMultilevel"/>
    <w:tmpl w:val="035E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24433"/>
    <w:multiLevelType w:val="multilevel"/>
    <w:tmpl w:val="23E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BC1410B"/>
    <w:multiLevelType w:val="multilevel"/>
    <w:tmpl w:val="06F4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10110F"/>
    <w:multiLevelType w:val="multilevel"/>
    <w:tmpl w:val="1E9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D31932"/>
    <w:multiLevelType w:val="multilevel"/>
    <w:tmpl w:val="A3CE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EF69E4"/>
    <w:multiLevelType w:val="multilevel"/>
    <w:tmpl w:val="43101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3532829"/>
    <w:multiLevelType w:val="multilevel"/>
    <w:tmpl w:val="B93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45560FD"/>
    <w:multiLevelType w:val="hybridMultilevel"/>
    <w:tmpl w:val="2F72A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C244EE"/>
    <w:multiLevelType w:val="hybridMultilevel"/>
    <w:tmpl w:val="51269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BBF07"/>
    <w:multiLevelType w:val="multilevel"/>
    <w:tmpl w:val="FFFFFFFF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C150B"/>
    <w:multiLevelType w:val="multilevel"/>
    <w:tmpl w:val="E09C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4220B76"/>
    <w:multiLevelType w:val="multilevel"/>
    <w:tmpl w:val="A152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64D46FA"/>
    <w:multiLevelType w:val="multilevel"/>
    <w:tmpl w:val="4CA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A2047E"/>
    <w:multiLevelType w:val="multilevel"/>
    <w:tmpl w:val="F8B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826A04"/>
    <w:multiLevelType w:val="hybridMultilevel"/>
    <w:tmpl w:val="BED0C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C1FD1"/>
    <w:multiLevelType w:val="multilevel"/>
    <w:tmpl w:val="BB8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4109457">
    <w:abstractNumId w:val="24"/>
  </w:num>
  <w:num w:numId="2" w16cid:durableId="137694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129859">
    <w:abstractNumId w:val="33"/>
  </w:num>
  <w:num w:numId="4" w16cid:durableId="1859655357">
    <w:abstractNumId w:val="32"/>
  </w:num>
  <w:num w:numId="5" w16cid:durableId="162934445">
    <w:abstractNumId w:val="38"/>
  </w:num>
  <w:num w:numId="6" w16cid:durableId="1920210936">
    <w:abstractNumId w:val="25"/>
  </w:num>
  <w:num w:numId="7" w16cid:durableId="633408731">
    <w:abstractNumId w:val="7"/>
  </w:num>
  <w:num w:numId="8" w16cid:durableId="1578782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8743890">
    <w:abstractNumId w:val="8"/>
  </w:num>
  <w:num w:numId="10" w16cid:durableId="1667592135">
    <w:abstractNumId w:val="41"/>
  </w:num>
  <w:num w:numId="11" w16cid:durableId="230507067">
    <w:abstractNumId w:val="11"/>
  </w:num>
  <w:num w:numId="12" w16cid:durableId="1829900996">
    <w:abstractNumId w:val="12"/>
  </w:num>
  <w:num w:numId="13" w16cid:durableId="1622956207">
    <w:abstractNumId w:val="4"/>
  </w:num>
  <w:num w:numId="14" w16cid:durableId="287980704">
    <w:abstractNumId w:val="47"/>
  </w:num>
  <w:num w:numId="15" w16cid:durableId="691301071">
    <w:abstractNumId w:val="27"/>
  </w:num>
  <w:num w:numId="16" w16cid:durableId="647855376">
    <w:abstractNumId w:val="21"/>
  </w:num>
  <w:num w:numId="17" w16cid:durableId="1997224501">
    <w:abstractNumId w:val="23"/>
  </w:num>
  <w:num w:numId="18" w16cid:durableId="1734544622">
    <w:abstractNumId w:val="31"/>
  </w:num>
  <w:num w:numId="19" w16cid:durableId="990405960">
    <w:abstractNumId w:val="19"/>
  </w:num>
  <w:num w:numId="20" w16cid:durableId="1013648011">
    <w:abstractNumId w:val="45"/>
  </w:num>
  <w:num w:numId="21" w16cid:durableId="683019308">
    <w:abstractNumId w:val="36"/>
  </w:num>
  <w:num w:numId="22" w16cid:durableId="580915020">
    <w:abstractNumId w:val="34"/>
  </w:num>
  <w:num w:numId="23" w16cid:durableId="194513650">
    <w:abstractNumId w:val="46"/>
  </w:num>
  <w:num w:numId="24" w16cid:durableId="646782596">
    <w:abstractNumId w:val="39"/>
  </w:num>
  <w:num w:numId="25" w16cid:durableId="1900557093">
    <w:abstractNumId w:val="35"/>
  </w:num>
  <w:num w:numId="26" w16cid:durableId="1328895755">
    <w:abstractNumId w:val="48"/>
  </w:num>
  <w:num w:numId="27" w16cid:durableId="18705230">
    <w:abstractNumId w:val="44"/>
  </w:num>
  <w:num w:numId="28" w16cid:durableId="1477646100">
    <w:abstractNumId w:val="43"/>
  </w:num>
  <w:num w:numId="29" w16cid:durableId="449323042">
    <w:abstractNumId w:val="9"/>
  </w:num>
  <w:num w:numId="30" w16cid:durableId="1899781125">
    <w:abstractNumId w:val="14"/>
  </w:num>
  <w:num w:numId="31" w16cid:durableId="1751581303">
    <w:abstractNumId w:val="20"/>
  </w:num>
  <w:num w:numId="32" w16cid:durableId="1052771340">
    <w:abstractNumId w:val="3"/>
  </w:num>
  <w:num w:numId="33" w16cid:durableId="1907836490">
    <w:abstractNumId w:val="10"/>
  </w:num>
  <w:num w:numId="34" w16cid:durableId="432747440">
    <w:abstractNumId w:val="17"/>
  </w:num>
  <w:num w:numId="35" w16cid:durableId="844563290">
    <w:abstractNumId w:val="22"/>
  </w:num>
  <w:num w:numId="36" w16cid:durableId="1323705299">
    <w:abstractNumId w:val="5"/>
  </w:num>
  <w:num w:numId="37" w16cid:durableId="458110400">
    <w:abstractNumId w:val="18"/>
  </w:num>
  <w:num w:numId="38" w16cid:durableId="1036925716">
    <w:abstractNumId w:val="16"/>
  </w:num>
  <w:num w:numId="39" w16cid:durableId="712343240">
    <w:abstractNumId w:val="37"/>
  </w:num>
  <w:num w:numId="40" w16cid:durableId="1483548639">
    <w:abstractNumId w:val="30"/>
  </w:num>
  <w:num w:numId="41" w16cid:durableId="458498698">
    <w:abstractNumId w:val="26"/>
  </w:num>
  <w:num w:numId="42" w16cid:durableId="1007706131">
    <w:abstractNumId w:val="0"/>
  </w:num>
  <w:num w:numId="43" w16cid:durableId="351928335">
    <w:abstractNumId w:val="40"/>
  </w:num>
  <w:num w:numId="44" w16cid:durableId="1408720785">
    <w:abstractNumId w:val="1"/>
  </w:num>
  <w:num w:numId="45" w16cid:durableId="204685137">
    <w:abstractNumId w:val="15"/>
  </w:num>
  <w:num w:numId="46" w16cid:durableId="150027615">
    <w:abstractNumId w:val="13"/>
  </w:num>
  <w:num w:numId="47" w16cid:durableId="2027559781">
    <w:abstractNumId w:val="28"/>
  </w:num>
  <w:num w:numId="48" w16cid:durableId="13739923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13448446">
    <w:abstractNumId w:val="42"/>
  </w:num>
  <w:num w:numId="50" w16cid:durableId="188956141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93"/>
    <w:rsid w:val="00000719"/>
    <w:rsid w:val="00003403"/>
    <w:rsid w:val="00003518"/>
    <w:rsid w:val="00005347"/>
    <w:rsid w:val="000072B6"/>
    <w:rsid w:val="0001021B"/>
    <w:rsid w:val="00010C9B"/>
    <w:rsid w:val="00011D89"/>
    <w:rsid w:val="00012605"/>
    <w:rsid w:val="00012A4E"/>
    <w:rsid w:val="00013CCD"/>
    <w:rsid w:val="00014873"/>
    <w:rsid w:val="000154FD"/>
    <w:rsid w:val="00016D7B"/>
    <w:rsid w:val="00016FBF"/>
    <w:rsid w:val="0002058A"/>
    <w:rsid w:val="00020A1D"/>
    <w:rsid w:val="00022271"/>
    <w:rsid w:val="000235E8"/>
    <w:rsid w:val="00023F06"/>
    <w:rsid w:val="00024D89"/>
    <w:rsid w:val="00024FFE"/>
    <w:rsid w:val="000250B6"/>
    <w:rsid w:val="00026C1F"/>
    <w:rsid w:val="00030BAB"/>
    <w:rsid w:val="00031886"/>
    <w:rsid w:val="00033BCA"/>
    <w:rsid w:val="00033D81"/>
    <w:rsid w:val="000355BA"/>
    <w:rsid w:val="00036AFC"/>
    <w:rsid w:val="00037366"/>
    <w:rsid w:val="00040576"/>
    <w:rsid w:val="00040751"/>
    <w:rsid w:val="000413BC"/>
    <w:rsid w:val="00041BF0"/>
    <w:rsid w:val="00042C8A"/>
    <w:rsid w:val="000446F5"/>
    <w:rsid w:val="0004536B"/>
    <w:rsid w:val="00046636"/>
    <w:rsid w:val="00046B68"/>
    <w:rsid w:val="00046D19"/>
    <w:rsid w:val="00050C9D"/>
    <w:rsid w:val="00050CA7"/>
    <w:rsid w:val="00050E56"/>
    <w:rsid w:val="000527DD"/>
    <w:rsid w:val="00053912"/>
    <w:rsid w:val="000558D8"/>
    <w:rsid w:val="000578B2"/>
    <w:rsid w:val="00060959"/>
    <w:rsid w:val="00060C8F"/>
    <w:rsid w:val="00061C25"/>
    <w:rsid w:val="00061E42"/>
    <w:rsid w:val="0006298A"/>
    <w:rsid w:val="00062AA3"/>
    <w:rsid w:val="00065C73"/>
    <w:rsid w:val="000663CD"/>
    <w:rsid w:val="00066B70"/>
    <w:rsid w:val="00067048"/>
    <w:rsid w:val="0007047D"/>
    <w:rsid w:val="000713D6"/>
    <w:rsid w:val="00072CB2"/>
    <w:rsid w:val="00073293"/>
    <w:rsid w:val="000733FE"/>
    <w:rsid w:val="00074219"/>
    <w:rsid w:val="00074ED5"/>
    <w:rsid w:val="000814F5"/>
    <w:rsid w:val="000819E2"/>
    <w:rsid w:val="000835C6"/>
    <w:rsid w:val="00084D1F"/>
    <w:rsid w:val="0008508E"/>
    <w:rsid w:val="000851BD"/>
    <w:rsid w:val="0008553F"/>
    <w:rsid w:val="00086686"/>
    <w:rsid w:val="00087951"/>
    <w:rsid w:val="0009113B"/>
    <w:rsid w:val="00093402"/>
    <w:rsid w:val="000943EE"/>
    <w:rsid w:val="00094DA3"/>
    <w:rsid w:val="00094F1D"/>
    <w:rsid w:val="00096CD1"/>
    <w:rsid w:val="00096F34"/>
    <w:rsid w:val="000977F4"/>
    <w:rsid w:val="00097909"/>
    <w:rsid w:val="000A012C"/>
    <w:rsid w:val="000A0EB9"/>
    <w:rsid w:val="000A186C"/>
    <w:rsid w:val="000A1EA4"/>
    <w:rsid w:val="000A2476"/>
    <w:rsid w:val="000A307E"/>
    <w:rsid w:val="000A641A"/>
    <w:rsid w:val="000A6B6A"/>
    <w:rsid w:val="000A767C"/>
    <w:rsid w:val="000B0C57"/>
    <w:rsid w:val="000B1B9C"/>
    <w:rsid w:val="000B3EDB"/>
    <w:rsid w:val="000B4327"/>
    <w:rsid w:val="000B446B"/>
    <w:rsid w:val="000B494E"/>
    <w:rsid w:val="000B543D"/>
    <w:rsid w:val="000B5473"/>
    <w:rsid w:val="000B55F9"/>
    <w:rsid w:val="000B5BF7"/>
    <w:rsid w:val="000B6787"/>
    <w:rsid w:val="000B6852"/>
    <w:rsid w:val="000B6BC8"/>
    <w:rsid w:val="000C0303"/>
    <w:rsid w:val="000C1189"/>
    <w:rsid w:val="000C22EC"/>
    <w:rsid w:val="000C290A"/>
    <w:rsid w:val="000C42EA"/>
    <w:rsid w:val="000C4546"/>
    <w:rsid w:val="000C4985"/>
    <w:rsid w:val="000C5C25"/>
    <w:rsid w:val="000C6C9B"/>
    <w:rsid w:val="000D008C"/>
    <w:rsid w:val="000D1242"/>
    <w:rsid w:val="000D3D18"/>
    <w:rsid w:val="000D55AB"/>
    <w:rsid w:val="000D5DB7"/>
    <w:rsid w:val="000D5F9F"/>
    <w:rsid w:val="000D6053"/>
    <w:rsid w:val="000D76E7"/>
    <w:rsid w:val="000E0970"/>
    <w:rsid w:val="000E0A2D"/>
    <w:rsid w:val="000E1910"/>
    <w:rsid w:val="000E1D61"/>
    <w:rsid w:val="000E24E9"/>
    <w:rsid w:val="000E2B2C"/>
    <w:rsid w:val="000E3CC7"/>
    <w:rsid w:val="000E3E73"/>
    <w:rsid w:val="000E54AF"/>
    <w:rsid w:val="000E55CA"/>
    <w:rsid w:val="000E635F"/>
    <w:rsid w:val="000E6BAA"/>
    <w:rsid w:val="000E6BD4"/>
    <w:rsid w:val="000E6D6D"/>
    <w:rsid w:val="000F1F1E"/>
    <w:rsid w:val="000F2259"/>
    <w:rsid w:val="000F2DDA"/>
    <w:rsid w:val="000F4CC7"/>
    <w:rsid w:val="000F5213"/>
    <w:rsid w:val="001000C4"/>
    <w:rsid w:val="00101001"/>
    <w:rsid w:val="00103276"/>
    <w:rsid w:val="0010392D"/>
    <w:rsid w:val="00103AF7"/>
    <w:rsid w:val="0010447F"/>
    <w:rsid w:val="00104FE3"/>
    <w:rsid w:val="00106D10"/>
    <w:rsid w:val="0010714F"/>
    <w:rsid w:val="00110500"/>
    <w:rsid w:val="001109A4"/>
    <w:rsid w:val="001120C5"/>
    <w:rsid w:val="0011469E"/>
    <w:rsid w:val="0011701A"/>
    <w:rsid w:val="00120BD3"/>
    <w:rsid w:val="00122FEA"/>
    <w:rsid w:val="001232BD"/>
    <w:rsid w:val="00123B6B"/>
    <w:rsid w:val="00123E2A"/>
    <w:rsid w:val="00124ED5"/>
    <w:rsid w:val="001260A9"/>
    <w:rsid w:val="00127282"/>
    <w:rsid w:val="001273DA"/>
    <w:rsid w:val="001276FA"/>
    <w:rsid w:val="00131133"/>
    <w:rsid w:val="00131C66"/>
    <w:rsid w:val="0013329F"/>
    <w:rsid w:val="00136768"/>
    <w:rsid w:val="00136A35"/>
    <w:rsid w:val="00140916"/>
    <w:rsid w:val="001413DB"/>
    <w:rsid w:val="00141950"/>
    <w:rsid w:val="0014255B"/>
    <w:rsid w:val="0014295E"/>
    <w:rsid w:val="001434B7"/>
    <w:rsid w:val="001447B3"/>
    <w:rsid w:val="00144D23"/>
    <w:rsid w:val="0014597D"/>
    <w:rsid w:val="001469A7"/>
    <w:rsid w:val="00146DD9"/>
    <w:rsid w:val="00146E06"/>
    <w:rsid w:val="0014725E"/>
    <w:rsid w:val="00147BB6"/>
    <w:rsid w:val="00152073"/>
    <w:rsid w:val="00154124"/>
    <w:rsid w:val="00154899"/>
    <w:rsid w:val="00154E2D"/>
    <w:rsid w:val="00154ECC"/>
    <w:rsid w:val="00154EE7"/>
    <w:rsid w:val="00156598"/>
    <w:rsid w:val="00156B50"/>
    <w:rsid w:val="00161939"/>
    <w:rsid w:val="00161AA0"/>
    <w:rsid w:val="00161D2E"/>
    <w:rsid w:val="00161F3E"/>
    <w:rsid w:val="00162093"/>
    <w:rsid w:val="00162CA9"/>
    <w:rsid w:val="001634EB"/>
    <w:rsid w:val="00165459"/>
    <w:rsid w:val="00165A57"/>
    <w:rsid w:val="001660C8"/>
    <w:rsid w:val="00167F4E"/>
    <w:rsid w:val="0017018A"/>
    <w:rsid w:val="00170340"/>
    <w:rsid w:val="0017058F"/>
    <w:rsid w:val="00170C0C"/>
    <w:rsid w:val="00170E4E"/>
    <w:rsid w:val="001712C2"/>
    <w:rsid w:val="00171AB7"/>
    <w:rsid w:val="00171DE5"/>
    <w:rsid w:val="00172BAF"/>
    <w:rsid w:val="00173FB2"/>
    <w:rsid w:val="001771DD"/>
    <w:rsid w:val="00177995"/>
    <w:rsid w:val="00177A8C"/>
    <w:rsid w:val="00177ACC"/>
    <w:rsid w:val="00184958"/>
    <w:rsid w:val="00184983"/>
    <w:rsid w:val="001861F7"/>
    <w:rsid w:val="00186B33"/>
    <w:rsid w:val="0019152D"/>
    <w:rsid w:val="00191BA0"/>
    <w:rsid w:val="00192262"/>
    <w:rsid w:val="00192F9D"/>
    <w:rsid w:val="00193C56"/>
    <w:rsid w:val="00194798"/>
    <w:rsid w:val="00194AA5"/>
    <w:rsid w:val="00195E2E"/>
    <w:rsid w:val="00196EB8"/>
    <w:rsid w:val="00196EFB"/>
    <w:rsid w:val="001979FF"/>
    <w:rsid w:val="00197B17"/>
    <w:rsid w:val="001A1950"/>
    <w:rsid w:val="001A1C54"/>
    <w:rsid w:val="001A39C2"/>
    <w:rsid w:val="001A3ACE"/>
    <w:rsid w:val="001A4777"/>
    <w:rsid w:val="001A6AC2"/>
    <w:rsid w:val="001A6CA3"/>
    <w:rsid w:val="001A7991"/>
    <w:rsid w:val="001B058F"/>
    <w:rsid w:val="001B0EF0"/>
    <w:rsid w:val="001B31DB"/>
    <w:rsid w:val="001B57AE"/>
    <w:rsid w:val="001B6368"/>
    <w:rsid w:val="001B6E39"/>
    <w:rsid w:val="001B7161"/>
    <w:rsid w:val="001B738B"/>
    <w:rsid w:val="001B7B7C"/>
    <w:rsid w:val="001C09DB"/>
    <w:rsid w:val="001C277E"/>
    <w:rsid w:val="001C2A72"/>
    <w:rsid w:val="001C31B7"/>
    <w:rsid w:val="001C35D6"/>
    <w:rsid w:val="001C3865"/>
    <w:rsid w:val="001C4C6E"/>
    <w:rsid w:val="001C5AD3"/>
    <w:rsid w:val="001C7C6E"/>
    <w:rsid w:val="001D0B75"/>
    <w:rsid w:val="001D19E3"/>
    <w:rsid w:val="001D1C84"/>
    <w:rsid w:val="001D227F"/>
    <w:rsid w:val="001D39A5"/>
    <w:rsid w:val="001D3C09"/>
    <w:rsid w:val="001D44E8"/>
    <w:rsid w:val="001D5D56"/>
    <w:rsid w:val="001D60EC"/>
    <w:rsid w:val="001D6F59"/>
    <w:rsid w:val="001E0C5D"/>
    <w:rsid w:val="001E2A36"/>
    <w:rsid w:val="001E3168"/>
    <w:rsid w:val="001E44D7"/>
    <w:rsid w:val="001E44DF"/>
    <w:rsid w:val="001E5058"/>
    <w:rsid w:val="001E5E4A"/>
    <w:rsid w:val="001E68A5"/>
    <w:rsid w:val="001E6BB0"/>
    <w:rsid w:val="001E7282"/>
    <w:rsid w:val="001E7672"/>
    <w:rsid w:val="001F0573"/>
    <w:rsid w:val="001F0CCA"/>
    <w:rsid w:val="001F2BBB"/>
    <w:rsid w:val="001F3826"/>
    <w:rsid w:val="001F4578"/>
    <w:rsid w:val="001F45DF"/>
    <w:rsid w:val="001F4B3F"/>
    <w:rsid w:val="001F62FD"/>
    <w:rsid w:val="001F6A45"/>
    <w:rsid w:val="001F6BEC"/>
    <w:rsid w:val="001F6E46"/>
    <w:rsid w:val="001F7186"/>
    <w:rsid w:val="001F7C91"/>
    <w:rsid w:val="00200176"/>
    <w:rsid w:val="00201396"/>
    <w:rsid w:val="002033B7"/>
    <w:rsid w:val="00205DD8"/>
    <w:rsid w:val="00206463"/>
    <w:rsid w:val="00206F2F"/>
    <w:rsid w:val="00207625"/>
    <w:rsid w:val="0021011C"/>
    <w:rsid w:val="00210466"/>
    <w:rsid w:val="0021053D"/>
    <w:rsid w:val="00210A92"/>
    <w:rsid w:val="0021295A"/>
    <w:rsid w:val="002156BF"/>
    <w:rsid w:val="0021635D"/>
    <w:rsid w:val="00216C03"/>
    <w:rsid w:val="00220C04"/>
    <w:rsid w:val="0022278D"/>
    <w:rsid w:val="002241F7"/>
    <w:rsid w:val="00226FC6"/>
    <w:rsid w:val="0022701F"/>
    <w:rsid w:val="00227C68"/>
    <w:rsid w:val="00231082"/>
    <w:rsid w:val="00231096"/>
    <w:rsid w:val="0023239B"/>
    <w:rsid w:val="002333F5"/>
    <w:rsid w:val="0023359A"/>
    <w:rsid w:val="00233724"/>
    <w:rsid w:val="00233AB6"/>
    <w:rsid w:val="0023500A"/>
    <w:rsid w:val="00235179"/>
    <w:rsid w:val="00235B99"/>
    <w:rsid w:val="002365B4"/>
    <w:rsid w:val="00240170"/>
    <w:rsid w:val="002405F2"/>
    <w:rsid w:val="00241FB3"/>
    <w:rsid w:val="002432E1"/>
    <w:rsid w:val="00245666"/>
    <w:rsid w:val="0024566C"/>
    <w:rsid w:val="00246207"/>
    <w:rsid w:val="00246C5E"/>
    <w:rsid w:val="00247A43"/>
    <w:rsid w:val="00247BF6"/>
    <w:rsid w:val="00250960"/>
    <w:rsid w:val="002512D1"/>
    <w:rsid w:val="00251343"/>
    <w:rsid w:val="0025344B"/>
    <w:rsid w:val="002536A4"/>
    <w:rsid w:val="00254F58"/>
    <w:rsid w:val="00257142"/>
    <w:rsid w:val="0025744F"/>
    <w:rsid w:val="0026179F"/>
    <w:rsid w:val="002620BC"/>
    <w:rsid w:val="00262802"/>
    <w:rsid w:val="00263A90"/>
    <w:rsid w:val="00263C1F"/>
    <w:rsid w:val="0026408B"/>
    <w:rsid w:val="00264A57"/>
    <w:rsid w:val="00267C3E"/>
    <w:rsid w:val="0027022E"/>
    <w:rsid w:val="002709BB"/>
    <w:rsid w:val="00270E99"/>
    <w:rsid w:val="0027113F"/>
    <w:rsid w:val="00273BAC"/>
    <w:rsid w:val="00275860"/>
    <w:rsid w:val="002763B3"/>
    <w:rsid w:val="002768EC"/>
    <w:rsid w:val="00276BB7"/>
    <w:rsid w:val="00277994"/>
    <w:rsid w:val="002802E3"/>
    <w:rsid w:val="002810EE"/>
    <w:rsid w:val="0028213D"/>
    <w:rsid w:val="00283BA3"/>
    <w:rsid w:val="002861C3"/>
    <w:rsid w:val="002862F1"/>
    <w:rsid w:val="00286702"/>
    <w:rsid w:val="00290621"/>
    <w:rsid w:val="00291373"/>
    <w:rsid w:val="00291B56"/>
    <w:rsid w:val="002926A0"/>
    <w:rsid w:val="00292727"/>
    <w:rsid w:val="002932D8"/>
    <w:rsid w:val="00294922"/>
    <w:rsid w:val="0029597D"/>
    <w:rsid w:val="002962C3"/>
    <w:rsid w:val="00296C2C"/>
    <w:rsid w:val="00297161"/>
    <w:rsid w:val="0029752B"/>
    <w:rsid w:val="002A0A8F"/>
    <w:rsid w:val="002A0A9C"/>
    <w:rsid w:val="002A1323"/>
    <w:rsid w:val="002A132E"/>
    <w:rsid w:val="002A2D2A"/>
    <w:rsid w:val="002A2D40"/>
    <w:rsid w:val="002A2EBE"/>
    <w:rsid w:val="002A3705"/>
    <w:rsid w:val="002A483C"/>
    <w:rsid w:val="002A5EF4"/>
    <w:rsid w:val="002A657E"/>
    <w:rsid w:val="002A71BB"/>
    <w:rsid w:val="002A796F"/>
    <w:rsid w:val="002B0C7C"/>
    <w:rsid w:val="002B0CB7"/>
    <w:rsid w:val="002B0F98"/>
    <w:rsid w:val="002B1729"/>
    <w:rsid w:val="002B1BB8"/>
    <w:rsid w:val="002B2E8D"/>
    <w:rsid w:val="002B325E"/>
    <w:rsid w:val="002B36C7"/>
    <w:rsid w:val="002B39E6"/>
    <w:rsid w:val="002B4DD4"/>
    <w:rsid w:val="002B5277"/>
    <w:rsid w:val="002B5375"/>
    <w:rsid w:val="002B5A9B"/>
    <w:rsid w:val="002B6F0A"/>
    <w:rsid w:val="002B77C1"/>
    <w:rsid w:val="002B7BAB"/>
    <w:rsid w:val="002C0ED7"/>
    <w:rsid w:val="002C2728"/>
    <w:rsid w:val="002D098E"/>
    <w:rsid w:val="002D0991"/>
    <w:rsid w:val="002D12A9"/>
    <w:rsid w:val="002D1E0D"/>
    <w:rsid w:val="002D2702"/>
    <w:rsid w:val="002D286E"/>
    <w:rsid w:val="002D5006"/>
    <w:rsid w:val="002D6C6A"/>
    <w:rsid w:val="002D7D96"/>
    <w:rsid w:val="002E01D0"/>
    <w:rsid w:val="002E11E0"/>
    <w:rsid w:val="002E161D"/>
    <w:rsid w:val="002E1B28"/>
    <w:rsid w:val="002E2B48"/>
    <w:rsid w:val="002E3100"/>
    <w:rsid w:val="002E4B72"/>
    <w:rsid w:val="002E54B0"/>
    <w:rsid w:val="002E5624"/>
    <w:rsid w:val="002E585F"/>
    <w:rsid w:val="002E6C95"/>
    <w:rsid w:val="002E7C36"/>
    <w:rsid w:val="002F0107"/>
    <w:rsid w:val="002F1A70"/>
    <w:rsid w:val="002F3D32"/>
    <w:rsid w:val="002F3E3E"/>
    <w:rsid w:val="002F5841"/>
    <w:rsid w:val="002F5F31"/>
    <w:rsid w:val="002F5F46"/>
    <w:rsid w:val="002F6450"/>
    <w:rsid w:val="002F747D"/>
    <w:rsid w:val="00300FBD"/>
    <w:rsid w:val="00302216"/>
    <w:rsid w:val="00302BC9"/>
    <w:rsid w:val="00302D31"/>
    <w:rsid w:val="00303E53"/>
    <w:rsid w:val="003047B0"/>
    <w:rsid w:val="003047EC"/>
    <w:rsid w:val="00304DD5"/>
    <w:rsid w:val="00305CC1"/>
    <w:rsid w:val="00306E5F"/>
    <w:rsid w:val="00306F94"/>
    <w:rsid w:val="00307564"/>
    <w:rsid w:val="00307E14"/>
    <w:rsid w:val="00314054"/>
    <w:rsid w:val="00314D09"/>
    <w:rsid w:val="00315BD8"/>
    <w:rsid w:val="00316F27"/>
    <w:rsid w:val="00317E17"/>
    <w:rsid w:val="00320204"/>
    <w:rsid w:val="003214F1"/>
    <w:rsid w:val="003223B7"/>
    <w:rsid w:val="00322E4B"/>
    <w:rsid w:val="003259E1"/>
    <w:rsid w:val="00327870"/>
    <w:rsid w:val="0033007E"/>
    <w:rsid w:val="00331AE1"/>
    <w:rsid w:val="0033259D"/>
    <w:rsid w:val="003333D2"/>
    <w:rsid w:val="003353A8"/>
    <w:rsid w:val="00336957"/>
    <w:rsid w:val="00336DB0"/>
    <w:rsid w:val="003406C6"/>
    <w:rsid w:val="00340CE9"/>
    <w:rsid w:val="003418CC"/>
    <w:rsid w:val="00342C03"/>
    <w:rsid w:val="003459BD"/>
    <w:rsid w:val="00345C6D"/>
    <w:rsid w:val="00346864"/>
    <w:rsid w:val="003475DB"/>
    <w:rsid w:val="00350C85"/>
    <w:rsid w:val="00350D38"/>
    <w:rsid w:val="003514A3"/>
    <w:rsid w:val="00351B36"/>
    <w:rsid w:val="00354C7C"/>
    <w:rsid w:val="0035549B"/>
    <w:rsid w:val="00356B71"/>
    <w:rsid w:val="00356DCB"/>
    <w:rsid w:val="003575BE"/>
    <w:rsid w:val="00357ABB"/>
    <w:rsid w:val="00357B4E"/>
    <w:rsid w:val="00364499"/>
    <w:rsid w:val="0036550A"/>
    <w:rsid w:val="00365FF3"/>
    <w:rsid w:val="0036692B"/>
    <w:rsid w:val="00367B9F"/>
    <w:rsid w:val="0037019F"/>
    <w:rsid w:val="003716FD"/>
    <w:rsid w:val="0037204B"/>
    <w:rsid w:val="003736D7"/>
    <w:rsid w:val="00373890"/>
    <w:rsid w:val="003744CF"/>
    <w:rsid w:val="00374717"/>
    <w:rsid w:val="0037584E"/>
    <w:rsid w:val="0037676C"/>
    <w:rsid w:val="00377401"/>
    <w:rsid w:val="0037772C"/>
    <w:rsid w:val="00381043"/>
    <w:rsid w:val="00381D26"/>
    <w:rsid w:val="0038232B"/>
    <w:rsid w:val="003829E5"/>
    <w:rsid w:val="003836A1"/>
    <w:rsid w:val="00384C40"/>
    <w:rsid w:val="00385B4F"/>
    <w:rsid w:val="00386109"/>
    <w:rsid w:val="00386944"/>
    <w:rsid w:val="00387225"/>
    <w:rsid w:val="00392074"/>
    <w:rsid w:val="00393570"/>
    <w:rsid w:val="00394D7A"/>
    <w:rsid w:val="003956CC"/>
    <w:rsid w:val="00395C9A"/>
    <w:rsid w:val="00396521"/>
    <w:rsid w:val="00396F77"/>
    <w:rsid w:val="003A0853"/>
    <w:rsid w:val="003A0B21"/>
    <w:rsid w:val="003A1469"/>
    <w:rsid w:val="003A4E76"/>
    <w:rsid w:val="003A522E"/>
    <w:rsid w:val="003A538C"/>
    <w:rsid w:val="003A5A12"/>
    <w:rsid w:val="003A5C7F"/>
    <w:rsid w:val="003A6B67"/>
    <w:rsid w:val="003A74D9"/>
    <w:rsid w:val="003B13B6"/>
    <w:rsid w:val="003B15E6"/>
    <w:rsid w:val="003B36EE"/>
    <w:rsid w:val="003B3CF3"/>
    <w:rsid w:val="003B408A"/>
    <w:rsid w:val="003B5733"/>
    <w:rsid w:val="003B717A"/>
    <w:rsid w:val="003C08A2"/>
    <w:rsid w:val="003C1C07"/>
    <w:rsid w:val="003C2045"/>
    <w:rsid w:val="003C43A1"/>
    <w:rsid w:val="003C4FC0"/>
    <w:rsid w:val="003C55A0"/>
    <w:rsid w:val="003C55F4"/>
    <w:rsid w:val="003C609D"/>
    <w:rsid w:val="003C7897"/>
    <w:rsid w:val="003C7A3F"/>
    <w:rsid w:val="003D0935"/>
    <w:rsid w:val="003D2766"/>
    <w:rsid w:val="003D28E4"/>
    <w:rsid w:val="003D2A74"/>
    <w:rsid w:val="003D323D"/>
    <w:rsid w:val="003D3E8F"/>
    <w:rsid w:val="003D4518"/>
    <w:rsid w:val="003D538A"/>
    <w:rsid w:val="003D5749"/>
    <w:rsid w:val="003D5B4D"/>
    <w:rsid w:val="003D5DAB"/>
    <w:rsid w:val="003D6475"/>
    <w:rsid w:val="003D7FD9"/>
    <w:rsid w:val="003E262D"/>
    <w:rsid w:val="003E375C"/>
    <w:rsid w:val="003E3867"/>
    <w:rsid w:val="003E4086"/>
    <w:rsid w:val="003E58D4"/>
    <w:rsid w:val="003E62F9"/>
    <w:rsid w:val="003E639E"/>
    <w:rsid w:val="003E71E5"/>
    <w:rsid w:val="003E7597"/>
    <w:rsid w:val="003E7620"/>
    <w:rsid w:val="003F0445"/>
    <w:rsid w:val="003F0CF0"/>
    <w:rsid w:val="003F14B1"/>
    <w:rsid w:val="003F2B20"/>
    <w:rsid w:val="003F325E"/>
    <w:rsid w:val="003F3289"/>
    <w:rsid w:val="003F499C"/>
    <w:rsid w:val="003F5CB9"/>
    <w:rsid w:val="00400F61"/>
    <w:rsid w:val="004013C7"/>
    <w:rsid w:val="00401516"/>
    <w:rsid w:val="00401FCF"/>
    <w:rsid w:val="0040228D"/>
    <w:rsid w:val="0040248F"/>
    <w:rsid w:val="00402644"/>
    <w:rsid w:val="0040443C"/>
    <w:rsid w:val="00404852"/>
    <w:rsid w:val="004058A0"/>
    <w:rsid w:val="00406285"/>
    <w:rsid w:val="00406379"/>
    <w:rsid w:val="00407588"/>
    <w:rsid w:val="00410067"/>
    <w:rsid w:val="004110F0"/>
    <w:rsid w:val="004112C6"/>
    <w:rsid w:val="00411EE8"/>
    <w:rsid w:val="004148F9"/>
    <w:rsid w:val="00414D04"/>
    <w:rsid w:val="00414D4A"/>
    <w:rsid w:val="0041606E"/>
    <w:rsid w:val="00417B40"/>
    <w:rsid w:val="0042084E"/>
    <w:rsid w:val="00421EEF"/>
    <w:rsid w:val="00424229"/>
    <w:rsid w:val="00424253"/>
    <w:rsid w:val="00424D65"/>
    <w:rsid w:val="00431010"/>
    <w:rsid w:val="0043163C"/>
    <w:rsid w:val="00436BC1"/>
    <w:rsid w:val="00437467"/>
    <w:rsid w:val="0044141F"/>
    <w:rsid w:val="004424CF"/>
    <w:rsid w:val="00442C6C"/>
    <w:rsid w:val="00443492"/>
    <w:rsid w:val="004438CA"/>
    <w:rsid w:val="00443CBE"/>
    <w:rsid w:val="00443E8A"/>
    <w:rsid w:val="004441BC"/>
    <w:rsid w:val="00445502"/>
    <w:rsid w:val="004468B4"/>
    <w:rsid w:val="00450133"/>
    <w:rsid w:val="004503E5"/>
    <w:rsid w:val="0045069F"/>
    <w:rsid w:val="0045227F"/>
    <w:rsid w:val="0045230A"/>
    <w:rsid w:val="00452D3E"/>
    <w:rsid w:val="00452DF9"/>
    <w:rsid w:val="00453D20"/>
    <w:rsid w:val="00453E78"/>
    <w:rsid w:val="00454252"/>
    <w:rsid w:val="004549A9"/>
    <w:rsid w:val="00454AD0"/>
    <w:rsid w:val="00455A8A"/>
    <w:rsid w:val="004565DA"/>
    <w:rsid w:val="00457337"/>
    <w:rsid w:val="00457A82"/>
    <w:rsid w:val="00457C59"/>
    <w:rsid w:val="00460044"/>
    <w:rsid w:val="00462E3D"/>
    <w:rsid w:val="004634D6"/>
    <w:rsid w:val="00466E79"/>
    <w:rsid w:val="0046747D"/>
    <w:rsid w:val="00470D7D"/>
    <w:rsid w:val="0047338A"/>
    <w:rsid w:val="0047370F"/>
    <w:rsid w:val="0047372D"/>
    <w:rsid w:val="00473BA3"/>
    <w:rsid w:val="004743DD"/>
    <w:rsid w:val="00474877"/>
    <w:rsid w:val="00474CEA"/>
    <w:rsid w:val="00475B05"/>
    <w:rsid w:val="00480CF4"/>
    <w:rsid w:val="00482426"/>
    <w:rsid w:val="00483968"/>
    <w:rsid w:val="004846FB"/>
    <w:rsid w:val="00484F86"/>
    <w:rsid w:val="0048579E"/>
    <w:rsid w:val="004876B9"/>
    <w:rsid w:val="00490746"/>
    <w:rsid w:val="00490852"/>
    <w:rsid w:val="00490A1B"/>
    <w:rsid w:val="0049176C"/>
    <w:rsid w:val="00491C9C"/>
    <w:rsid w:val="00492F30"/>
    <w:rsid w:val="004935A6"/>
    <w:rsid w:val="00493E81"/>
    <w:rsid w:val="004946F4"/>
    <w:rsid w:val="0049487E"/>
    <w:rsid w:val="004A0AF1"/>
    <w:rsid w:val="004A119A"/>
    <w:rsid w:val="004A160D"/>
    <w:rsid w:val="004A2177"/>
    <w:rsid w:val="004A34A3"/>
    <w:rsid w:val="004A3E81"/>
    <w:rsid w:val="004A4195"/>
    <w:rsid w:val="004A5284"/>
    <w:rsid w:val="004A5C62"/>
    <w:rsid w:val="004A5CE5"/>
    <w:rsid w:val="004A5F3B"/>
    <w:rsid w:val="004A662D"/>
    <w:rsid w:val="004A671B"/>
    <w:rsid w:val="004A707D"/>
    <w:rsid w:val="004A7553"/>
    <w:rsid w:val="004A7741"/>
    <w:rsid w:val="004B289F"/>
    <w:rsid w:val="004B5EE0"/>
    <w:rsid w:val="004C1FDD"/>
    <w:rsid w:val="004C38EA"/>
    <w:rsid w:val="004C4CA0"/>
    <w:rsid w:val="004C5541"/>
    <w:rsid w:val="004C6EEE"/>
    <w:rsid w:val="004C702B"/>
    <w:rsid w:val="004C7300"/>
    <w:rsid w:val="004D0033"/>
    <w:rsid w:val="004D016B"/>
    <w:rsid w:val="004D1293"/>
    <w:rsid w:val="004D1B22"/>
    <w:rsid w:val="004D21C4"/>
    <w:rsid w:val="004D23CC"/>
    <w:rsid w:val="004D3280"/>
    <w:rsid w:val="004D36F2"/>
    <w:rsid w:val="004D4FB1"/>
    <w:rsid w:val="004D68C4"/>
    <w:rsid w:val="004D6AC4"/>
    <w:rsid w:val="004D769D"/>
    <w:rsid w:val="004E1106"/>
    <w:rsid w:val="004E138F"/>
    <w:rsid w:val="004E231D"/>
    <w:rsid w:val="004E3448"/>
    <w:rsid w:val="004E4649"/>
    <w:rsid w:val="004E497E"/>
    <w:rsid w:val="004E5C2B"/>
    <w:rsid w:val="004E60A1"/>
    <w:rsid w:val="004E6337"/>
    <w:rsid w:val="004E6D5B"/>
    <w:rsid w:val="004E72B7"/>
    <w:rsid w:val="004E7FB1"/>
    <w:rsid w:val="004F00DD"/>
    <w:rsid w:val="004F0775"/>
    <w:rsid w:val="004F0FC0"/>
    <w:rsid w:val="004F1109"/>
    <w:rsid w:val="004F2133"/>
    <w:rsid w:val="004F3D39"/>
    <w:rsid w:val="004F4456"/>
    <w:rsid w:val="004F4D39"/>
    <w:rsid w:val="004F51FE"/>
    <w:rsid w:val="004F5398"/>
    <w:rsid w:val="004F5502"/>
    <w:rsid w:val="004F55F1"/>
    <w:rsid w:val="004F62DA"/>
    <w:rsid w:val="004F6488"/>
    <w:rsid w:val="004F6936"/>
    <w:rsid w:val="0050129A"/>
    <w:rsid w:val="00501613"/>
    <w:rsid w:val="00502634"/>
    <w:rsid w:val="00503DC6"/>
    <w:rsid w:val="00504161"/>
    <w:rsid w:val="00504B16"/>
    <w:rsid w:val="00505683"/>
    <w:rsid w:val="00505C1D"/>
    <w:rsid w:val="00505F5D"/>
    <w:rsid w:val="00506F5D"/>
    <w:rsid w:val="00510C37"/>
    <w:rsid w:val="005115DC"/>
    <w:rsid w:val="005125DE"/>
    <w:rsid w:val="005126D0"/>
    <w:rsid w:val="00515028"/>
    <w:rsid w:val="0051568D"/>
    <w:rsid w:val="00516647"/>
    <w:rsid w:val="005169E7"/>
    <w:rsid w:val="0051740D"/>
    <w:rsid w:val="00521812"/>
    <w:rsid w:val="00521F03"/>
    <w:rsid w:val="00525221"/>
    <w:rsid w:val="00526AC7"/>
    <w:rsid w:val="00526C15"/>
    <w:rsid w:val="00531876"/>
    <w:rsid w:val="00531F93"/>
    <w:rsid w:val="00533337"/>
    <w:rsid w:val="005344D3"/>
    <w:rsid w:val="0053504F"/>
    <w:rsid w:val="00536395"/>
    <w:rsid w:val="00536499"/>
    <w:rsid w:val="005415A5"/>
    <w:rsid w:val="0054218F"/>
    <w:rsid w:val="00543399"/>
    <w:rsid w:val="00543903"/>
    <w:rsid w:val="00543F11"/>
    <w:rsid w:val="00546305"/>
    <w:rsid w:val="00547A95"/>
    <w:rsid w:val="005505AE"/>
    <w:rsid w:val="0055060B"/>
    <w:rsid w:val="005507A2"/>
    <w:rsid w:val="0055119B"/>
    <w:rsid w:val="00551369"/>
    <w:rsid w:val="005548B5"/>
    <w:rsid w:val="005549AC"/>
    <w:rsid w:val="00554C28"/>
    <w:rsid w:val="005551A3"/>
    <w:rsid w:val="00556CE6"/>
    <w:rsid w:val="005571F5"/>
    <w:rsid w:val="0055730A"/>
    <w:rsid w:val="00557948"/>
    <w:rsid w:val="00557BF6"/>
    <w:rsid w:val="00560284"/>
    <w:rsid w:val="00560A12"/>
    <w:rsid w:val="00561EED"/>
    <w:rsid w:val="00564990"/>
    <w:rsid w:val="00565721"/>
    <w:rsid w:val="005657ED"/>
    <w:rsid w:val="005670CA"/>
    <w:rsid w:val="0057010C"/>
    <w:rsid w:val="005711CD"/>
    <w:rsid w:val="005718CA"/>
    <w:rsid w:val="00572031"/>
    <w:rsid w:val="00572282"/>
    <w:rsid w:val="005723FF"/>
    <w:rsid w:val="00573299"/>
    <w:rsid w:val="00573CE3"/>
    <w:rsid w:val="0057633B"/>
    <w:rsid w:val="00576E84"/>
    <w:rsid w:val="00577249"/>
    <w:rsid w:val="00577B06"/>
    <w:rsid w:val="00580394"/>
    <w:rsid w:val="005809CD"/>
    <w:rsid w:val="00580A28"/>
    <w:rsid w:val="00582B8C"/>
    <w:rsid w:val="00582C88"/>
    <w:rsid w:val="0058306E"/>
    <w:rsid w:val="00583883"/>
    <w:rsid w:val="00585203"/>
    <w:rsid w:val="005865D4"/>
    <w:rsid w:val="0058757E"/>
    <w:rsid w:val="0058763D"/>
    <w:rsid w:val="0059094B"/>
    <w:rsid w:val="00591A62"/>
    <w:rsid w:val="00592A72"/>
    <w:rsid w:val="00594829"/>
    <w:rsid w:val="0059610A"/>
    <w:rsid w:val="005962DB"/>
    <w:rsid w:val="00596A4B"/>
    <w:rsid w:val="00596AB9"/>
    <w:rsid w:val="00596D8D"/>
    <w:rsid w:val="00597507"/>
    <w:rsid w:val="00597D2A"/>
    <w:rsid w:val="005A1484"/>
    <w:rsid w:val="005A27F4"/>
    <w:rsid w:val="005A4736"/>
    <w:rsid w:val="005A479D"/>
    <w:rsid w:val="005A55C7"/>
    <w:rsid w:val="005A57B0"/>
    <w:rsid w:val="005A75B9"/>
    <w:rsid w:val="005A7A12"/>
    <w:rsid w:val="005B1C6D"/>
    <w:rsid w:val="005B21B6"/>
    <w:rsid w:val="005B23C1"/>
    <w:rsid w:val="005B3A08"/>
    <w:rsid w:val="005B5798"/>
    <w:rsid w:val="005B5B06"/>
    <w:rsid w:val="005B5B09"/>
    <w:rsid w:val="005B7A63"/>
    <w:rsid w:val="005C0441"/>
    <w:rsid w:val="005C0955"/>
    <w:rsid w:val="005C4808"/>
    <w:rsid w:val="005C49DA"/>
    <w:rsid w:val="005C50F3"/>
    <w:rsid w:val="005C5268"/>
    <w:rsid w:val="005C54B5"/>
    <w:rsid w:val="005C56FE"/>
    <w:rsid w:val="005C5CB0"/>
    <w:rsid w:val="005C5D80"/>
    <w:rsid w:val="005C5D91"/>
    <w:rsid w:val="005D07B8"/>
    <w:rsid w:val="005D0A45"/>
    <w:rsid w:val="005D1A9A"/>
    <w:rsid w:val="005D1FF3"/>
    <w:rsid w:val="005D21A2"/>
    <w:rsid w:val="005D3F61"/>
    <w:rsid w:val="005D4D23"/>
    <w:rsid w:val="005D562B"/>
    <w:rsid w:val="005D6597"/>
    <w:rsid w:val="005D77B0"/>
    <w:rsid w:val="005E0C42"/>
    <w:rsid w:val="005E14E7"/>
    <w:rsid w:val="005E26A3"/>
    <w:rsid w:val="005E2ECB"/>
    <w:rsid w:val="005E3A69"/>
    <w:rsid w:val="005E447E"/>
    <w:rsid w:val="005E4F56"/>
    <w:rsid w:val="005E4FD1"/>
    <w:rsid w:val="005E558C"/>
    <w:rsid w:val="005E6C03"/>
    <w:rsid w:val="005F0775"/>
    <w:rsid w:val="005F0CF5"/>
    <w:rsid w:val="005F21EB"/>
    <w:rsid w:val="005F2337"/>
    <w:rsid w:val="005F3A45"/>
    <w:rsid w:val="005F4BC2"/>
    <w:rsid w:val="005F6813"/>
    <w:rsid w:val="005F7AC4"/>
    <w:rsid w:val="005F7DF6"/>
    <w:rsid w:val="00601AA4"/>
    <w:rsid w:val="00604F20"/>
    <w:rsid w:val="00605908"/>
    <w:rsid w:val="00610115"/>
    <w:rsid w:val="00610D7C"/>
    <w:rsid w:val="00610D8D"/>
    <w:rsid w:val="0061239C"/>
    <w:rsid w:val="00613414"/>
    <w:rsid w:val="006136D8"/>
    <w:rsid w:val="00614B90"/>
    <w:rsid w:val="006154DF"/>
    <w:rsid w:val="00615AC6"/>
    <w:rsid w:val="00615C60"/>
    <w:rsid w:val="00616A0D"/>
    <w:rsid w:val="00620154"/>
    <w:rsid w:val="00620C0B"/>
    <w:rsid w:val="0062408D"/>
    <w:rsid w:val="006240CC"/>
    <w:rsid w:val="00624940"/>
    <w:rsid w:val="006254F8"/>
    <w:rsid w:val="00627DA7"/>
    <w:rsid w:val="00630DA4"/>
    <w:rsid w:val="00632597"/>
    <w:rsid w:val="00632A91"/>
    <w:rsid w:val="00634352"/>
    <w:rsid w:val="00634A69"/>
    <w:rsid w:val="00634D61"/>
    <w:rsid w:val="006358B4"/>
    <w:rsid w:val="00636E3F"/>
    <w:rsid w:val="006419AA"/>
    <w:rsid w:val="00641CC7"/>
    <w:rsid w:val="0064211B"/>
    <w:rsid w:val="00643C69"/>
    <w:rsid w:val="006448CC"/>
    <w:rsid w:val="00644B1F"/>
    <w:rsid w:val="00644B7E"/>
    <w:rsid w:val="006451A8"/>
    <w:rsid w:val="006454E6"/>
    <w:rsid w:val="00646235"/>
    <w:rsid w:val="00646363"/>
    <w:rsid w:val="00646A68"/>
    <w:rsid w:val="00646A9B"/>
    <w:rsid w:val="0064738A"/>
    <w:rsid w:val="00650316"/>
    <w:rsid w:val="006505BD"/>
    <w:rsid w:val="006508EA"/>
    <w:rsid w:val="0065092E"/>
    <w:rsid w:val="006557A7"/>
    <w:rsid w:val="006558FB"/>
    <w:rsid w:val="00655DBD"/>
    <w:rsid w:val="006560F6"/>
    <w:rsid w:val="00656290"/>
    <w:rsid w:val="00657B1D"/>
    <w:rsid w:val="006608D8"/>
    <w:rsid w:val="00660F38"/>
    <w:rsid w:val="00661CB5"/>
    <w:rsid w:val="006621D7"/>
    <w:rsid w:val="0066302A"/>
    <w:rsid w:val="00667770"/>
    <w:rsid w:val="00667A1C"/>
    <w:rsid w:val="00670597"/>
    <w:rsid w:val="006706D0"/>
    <w:rsid w:val="00670D9E"/>
    <w:rsid w:val="00672573"/>
    <w:rsid w:val="006734D5"/>
    <w:rsid w:val="006747C4"/>
    <w:rsid w:val="00677173"/>
    <w:rsid w:val="00677574"/>
    <w:rsid w:val="00677866"/>
    <w:rsid w:val="00680502"/>
    <w:rsid w:val="006812C5"/>
    <w:rsid w:val="0068454C"/>
    <w:rsid w:val="00684600"/>
    <w:rsid w:val="00684905"/>
    <w:rsid w:val="00684F20"/>
    <w:rsid w:val="0069020F"/>
    <w:rsid w:val="00691B62"/>
    <w:rsid w:val="00692628"/>
    <w:rsid w:val="00692FD2"/>
    <w:rsid w:val="006933B5"/>
    <w:rsid w:val="00693D14"/>
    <w:rsid w:val="00695D08"/>
    <w:rsid w:val="00696070"/>
    <w:rsid w:val="00696F27"/>
    <w:rsid w:val="0069704B"/>
    <w:rsid w:val="006A18C2"/>
    <w:rsid w:val="006A2773"/>
    <w:rsid w:val="006A3383"/>
    <w:rsid w:val="006A4120"/>
    <w:rsid w:val="006A50A8"/>
    <w:rsid w:val="006A7565"/>
    <w:rsid w:val="006A7FE8"/>
    <w:rsid w:val="006B05EA"/>
    <w:rsid w:val="006B077C"/>
    <w:rsid w:val="006B16EA"/>
    <w:rsid w:val="006B2537"/>
    <w:rsid w:val="006B405C"/>
    <w:rsid w:val="006B545D"/>
    <w:rsid w:val="006B6803"/>
    <w:rsid w:val="006C0583"/>
    <w:rsid w:val="006C0BE9"/>
    <w:rsid w:val="006C32F3"/>
    <w:rsid w:val="006C57AE"/>
    <w:rsid w:val="006C76A4"/>
    <w:rsid w:val="006C7A39"/>
    <w:rsid w:val="006D0F16"/>
    <w:rsid w:val="006D2A3F"/>
    <w:rsid w:val="006D2FBC"/>
    <w:rsid w:val="006D3D70"/>
    <w:rsid w:val="006D48AD"/>
    <w:rsid w:val="006D7B59"/>
    <w:rsid w:val="006E0193"/>
    <w:rsid w:val="006E0541"/>
    <w:rsid w:val="006E138B"/>
    <w:rsid w:val="006E3D33"/>
    <w:rsid w:val="006E7910"/>
    <w:rsid w:val="006F0330"/>
    <w:rsid w:val="006F0F35"/>
    <w:rsid w:val="006F18DE"/>
    <w:rsid w:val="006F1FDC"/>
    <w:rsid w:val="006F32B5"/>
    <w:rsid w:val="006F3AE1"/>
    <w:rsid w:val="006F6B8C"/>
    <w:rsid w:val="006F76D0"/>
    <w:rsid w:val="00700224"/>
    <w:rsid w:val="007013EF"/>
    <w:rsid w:val="0070255B"/>
    <w:rsid w:val="00703CF8"/>
    <w:rsid w:val="007041CA"/>
    <w:rsid w:val="007042C9"/>
    <w:rsid w:val="007055BD"/>
    <w:rsid w:val="00716572"/>
    <w:rsid w:val="007173CA"/>
    <w:rsid w:val="00720D69"/>
    <w:rsid w:val="007216AA"/>
    <w:rsid w:val="00721AB5"/>
    <w:rsid w:val="00721CFB"/>
    <w:rsid w:val="00721DEF"/>
    <w:rsid w:val="0072251A"/>
    <w:rsid w:val="0072272B"/>
    <w:rsid w:val="00724188"/>
    <w:rsid w:val="00724A43"/>
    <w:rsid w:val="007273AC"/>
    <w:rsid w:val="00730376"/>
    <w:rsid w:val="00730B58"/>
    <w:rsid w:val="007310F0"/>
    <w:rsid w:val="00731AD4"/>
    <w:rsid w:val="007321F8"/>
    <w:rsid w:val="007346E4"/>
    <w:rsid w:val="00734FCA"/>
    <w:rsid w:val="0073582E"/>
    <w:rsid w:val="00736A3F"/>
    <w:rsid w:val="00737A17"/>
    <w:rsid w:val="007403D7"/>
    <w:rsid w:val="00740F22"/>
    <w:rsid w:val="00741CF0"/>
    <w:rsid w:val="00741F1A"/>
    <w:rsid w:val="00742C7B"/>
    <w:rsid w:val="00743048"/>
    <w:rsid w:val="007441AC"/>
    <w:rsid w:val="007447DA"/>
    <w:rsid w:val="00744E84"/>
    <w:rsid w:val="007450F8"/>
    <w:rsid w:val="007453A0"/>
    <w:rsid w:val="0074696E"/>
    <w:rsid w:val="00746CC0"/>
    <w:rsid w:val="00750135"/>
    <w:rsid w:val="00750EC2"/>
    <w:rsid w:val="00750F67"/>
    <w:rsid w:val="0075120B"/>
    <w:rsid w:val="00752B28"/>
    <w:rsid w:val="007541A9"/>
    <w:rsid w:val="007544DB"/>
    <w:rsid w:val="00754E36"/>
    <w:rsid w:val="00763139"/>
    <w:rsid w:val="007636F4"/>
    <w:rsid w:val="0076377C"/>
    <w:rsid w:val="00763D2C"/>
    <w:rsid w:val="007645EE"/>
    <w:rsid w:val="00770953"/>
    <w:rsid w:val="00770F37"/>
    <w:rsid w:val="007711A0"/>
    <w:rsid w:val="0077190F"/>
    <w:rsid w:val="00772D5E"/>
    <w:rsid w:val="00773EDB"/>
    <w:rsid w:val="0077463E"/>
    <w:rsid w:val="00774F93"/>
    <w:rsid w:val="00775AF8"/>
    <w:rsid w:val="00776928"/>
    <w:rsid w:val="00776E0F"/>
    <w:rsid w:val="007774B1"/>
    <w:rsid w:val="00777BE1"/>
    <w:rsid w:val="00781728"/>
    <w:rsid w:val="007833D8"/>
    <w:rsid w:val="0078463E"/>
    <w:rsid w:val="00785677"/>
    <w:rsid w:val="00785918"/>
    <w:rsid w:val="00786710"/>
    <w:rsid w:val="00786799"/>
    <w:rsid w:val="00786F16"/>
    <w:rsid w:val="0078709B"/>
    <w:rsid w:val="00791BD7"/>
    <w:rsid w:val="007920FD"/>
    <w:rsid w:val="00792DBA"/>
    <w:rsid w:val="007933F7"/>
    <w:rsid w:val="007937AE"/>
    <w:rsid w:val="00794A06"/>
    <w:rsid w:val="00795172"/>
    <w:rsid w:val="007956DF"/>
    <w:rsid w:val="00795933"/>
    <w:rsid w:val="00796E20"/>
    <w:rsid w:val="00797C32"/>
    <w:rsid w:val="00797F60"/>
    <w:rsid w:val="007A027B"/>
    <w:rsid w:val="007A09AB"/>
    <w:rsid w:val="007A11E8"/>
    <w:rsid w:val="007A1AE7"/>
    <w:rsid w:val="007A21C5"/>
    <w:rsid w:val="007A2A5E"/>
    <w:rsid w:val="007A5183"/>
    <w:rsid w:val="007A5AE7"/>
    <w:rsid w:val="007A7FD2"/>
    <w:rsid w:val="007B0914"/>
    <w:rsid w:val="007B0A11"/>
    <w:rsid w:val="007B10CC"/>
    <w:rsid w:val="007B1374"/>
    <w:rsid w:val="007B18BC"/>
    <w:rsid w:val="007B22B3"/>
    <w:rsid w:val="007B32E5"/>
    <w:rsid w:val="007B33E7"/>
    <w:rsid w:val="007B3DB9"/>
    <w:rsid w:val="007B42B3"/>
    <w:rsid w:val="007B589F"/>
    <w:rsid w:val="007B5C80"/>
    <w:rsid w:val="007B6186"/>
    <w:rsid w:val="007B73BC"/>
    <w:rsid w:val="007C1838"/>
    <w:rsid w:val="007C20B9"/>
    <w:rsid w:val="007C7301"/>
    <w:rsid w:val="007C7859"/>
    <w:rsid w:val="007C7F28"/>
    <w:rsid w:val="007D026C"/>
    <w:rsid w:val="007D1466"/>
    <w:rsid w:val="007D1B1B"/>
    <w:rsid w:val="007D2945"/>
    <w:rsid w:val="007D2BDE"/>
    <w:rsid w:val="007D2F1A"/>
    <w:rsid w:val="007D2FB6"/>
    <w:rsid w:val="007D3994"/>
    <w:rsid w:val="007D3BF3"/>
    <w:rsid w:val="007D49EB"/>
    <w:rsid w:val="007D4BB3"/>
    <w:rsid w:val="007D5E1C"/>
    <w:rsid w:val="007D714F"/>
    <w:rsid w:val="007D7875"/>
    <w:rsid w:val="007E00F9"/>
    <w:rsid w:val="007E0CBB"/>
    <w:rsid w:val="007E0DE2"/>
    <w:rsid w:val="007E1227"/>
    <w:rsid w:val="007E1F65"/>
    <w:rsid w:val="007E2077"/>
    <w:rsid w:val="007E2A89"/>
    <w:rsid w:val="007E3B87"/>
    <w:rsid w:val="007E3B98"/>
    <w:rsid w:val="007E417A"/>
    <w:rsid w:val="007E553B"/>
    <w:rsid w:val="007E6624"/>
    <w:rsid w:val="007E7D4A"/>
    <w:rsid w:val="007F003F"/>
    <w:rsid w:val="007F14D1"/>
    <w:rsid w:val="007F31B6"/>
    <w:rsid w:val="007F546C"/>
    <w:rsid w:val="007F625F"/>
    <w:rsid w:val="007F665E"/>
    <w:rsid w:val="00800412"/>
    <w:rsid w:val="00801C7C"/>
    <w:rsid w:val="0080236B"/>
    <w:rsid w:val="00804637"/>
    <w:rsid w:val="0080587B"/>
    <w:rsid w:val="00806468"/>
    <w:rsid w:val="00807A65"/>
    <w:rsid w:val="00811364"/>
    <w:rsid w:val="008114DF"/>
    <w:rsid w:val="008119CA"/>
    <w:rsid w:val="00811B5B"/>
    <w:rsid w:val="008130C4"/>
    <w:rsid w:val="008148C7"/>
    <w:rsid w:val="00815526"/>
    <w:rsid w:val="008155F0"/>
    <w:rsid w:val="008160BC"/>
    <w:rsid w:val="00816735"/>
    <w:rsid w:val="00816A38"/>
    <w:rsid w:val="00820141"/>
    <w:rsid w:val="008205E9"/>
    <w:rsid w:val="00820E0C"/>
    <w:rsid w:val="008213F0"/>
    <w:rsid w:val="00821840"/>
    <w:rsid w:val="00823275"/>
    <w:rsid w:val="0082366F"/>
    <w:rsid w:val="00823781"/>
    <w:rsid w:val="00823FBC"/>
    <w:rsid w:val="00824F18"/>
    <w:rsid w:val="00825C4D"/>
    <w:rsid w:val="008269EB"/>
    <w:rsid w:val="00826B58"/>
    <w:rsid w:val="00826EDE"/>
    <w:rsid w:val="00827D23"/>
    <w:rsid w:val="00830D19"/>
    <w:rsid w:val="008316CD"/>
    <w:rsid w:val="008317C8"/>
    <w:rsid w:val="00831A7E"/>
    <w:rsid w:val="008333A9"/>
    <w:rsid w:val="008338A2"/>
    <w:rsid w:val="00834173"/>
    <w:rsid w:val="00834724"/>
    <w:rsid w:val="00835FAF"/>
    <w:rsid w:val="00836484"/>
    <w:rsid w:val="00836670"/>
    <w:rsid w:val="008369E3"/>
    <w:rsid w:val="008374C1"/>
    <w:rsid w:val="00840199"/>
    <w:rsid w:val="00840432"/>
    <w:rsid w:val="00841AA9"/>
    <w:rsid w:val="00842BDE"/>
    <w:rsid w:val="00844839"/>
    <w:rsid w:val="00845EA9"/>
    <w:rsid w:val="008469C4"/>
    <w:rsid w:val="008474FE"/>
    <w:rsid w:val="00850EFA"/>
    <w:rsid w:val="00853CDC"/>
    <w:rsid w:val="00853EE4"/>
    <w:rsid w:val="00854C34"/>
    <w:rsid w:val="00855535"/>
    <w:rsid w:val="00855920"/>
    <w:rsid w:val="00857C5A"/>
    <w:rsid w:val="00857FAE"/>
    <w:rsid w:val="008607BE"/>
    <w:rsid w:val="00860FFE"/>
    <w:rsid w:val="00861508"/>
    <w:rsid w:val="0086255E"/>
    <w:rsid w:val="008633F0"/>
    <w:rsid w:val="00863800"/>
    <w:rsid w:val="008677F7"/>
    <w:rsid w:val="00867D9D"/>
    <w:rsid w:val="008719EB"/>
    <w:rsid w:val="0087269B"/>
    <w:rsid w:val="008729AD"/>
    <w:rsid w:val="00872C9F"/>
    <w:rsid w:val="00872E0A"/>
    <w:rsid w:val="00873594"/>
    <w:rsid w:val="00873624"/>
    <w:rsid w:val="00875285"/>
    <w:rsid w:val="00875BCB"/>
    <w:rsid w:val="00876BBD"/>
    <w:rsid w:val="00876C00"/>
    <w:rsid w:val="008801F1"/>
    <w:rsid w:val="008819C0"/>
    <w:rsid w:val="00881C82"/>
    <w:rsid w:val="00882A5E"/>
    <w:rsid w:val="00884B62"/>
    <w:rsid w:val="0088529C"/>
    <w:rsid w:val="00885531"/>
    <w:rsid w:val="00887903"/>
    <w:rsid w:val="00887966"/>
    <w:rsid w:val="00887FCB"/>
    <w:rsid w:val="008906B8"/>
    <w:rsid w:val="00891712"/>
    <w:rsid w:val="0089265F"/>
    <w:rsid w:val="0089270A"/>
    <w:rsid w:val="00893AF6"/>
    <w:rsid w:val="0089425F"/>
    <w:rsid w:val="00894BC4"/>
    <w:rsid w:val="008A004D"/>
    <w:rsid w:val="008A02E4"/>
    <w:rsid w:val="008A28A8"/>
    <w:rsid w:val="008A2C39"/>
    <w:rsid w:val="008A5B32"/>
    <w:rsid w:val="008A7C4C"/>
    <w:rsid w:val="008B0456"/>
    <w:rsid w:val="008B2EE4"/>
    <w:rsid w:val="008B4D3D"/>
    <w:rsid w:val="008B57C7"/>
    <w:rsid w:val="008C0454"/>
    <w:rsid w:val="008C15E8"/>
    <w:rsid w:val="008C2F92"/>
    <w:rsid w:val="008C3697"/>
    <w:rsid w:val="008C492A"/>
    <w:rsid w:val="008C4BA8"/>
    <w:rsid w:val="008C553A"/>
    <w:rsid w:val="008C5557"/>
    <w:rsid w:val="008C589D"/>
    <w:rsid w:val="008C6B8A"/>
    <w:rsid w:val="008C6D51"/>
    <w:rsid w:val="008D11B9"/>
    <w:rsid w:val="008D2846"/>
    <w:rsid w:val="008D2CD6"/>
    <w:rsid w:val="008D388B"/>
    <w:rsid w:val="008D4236"/>
    <w:rsid w:val="008D462F"/>
    <w:rsid w:val="008D6CA6"/>
    <w:rsid w:val="008D6DCF"/>
    <w:rsid w:val="008E0A08"/>
    <w:rsid w:val="008E0F1C"/>
    <w:rsid w:val="008E2E0F"/>
    <w:rsid w:val="008E3DE9"/>
    <w:rsid w:val="008E4376"/>
    <w:rsid w:val="008E4577"/>
    <w:rsid w:val="008E5567"/>
    <w:rsid w:val="008E5EAE"/>
    <w:rsid w:val="008E7A0A"/>
    <w:rsid w:val="008E7B49"/>
    <w:rsid w:val="008F59F6"/>
    <w:rsid w:val="008F6236"/>
    <w:rsid w:val="00900266"/>
    <w:rsid w:val="00900719"/>
    <w:rsid w:val="009017AC"/>
    <w:rsid w:val="00902A9A"/>
    <w:rsid w:val="00903EFB"/>
    <w:rsid w:val="009042B7"/>
    <w:rsid w:val="00904A1C"/>
    <w:rsid w:val="00904AB4"/>
    <w:rsid w:val="00905030"/>
    <w:rsid w:val="0090606B"/>
    <w:rsid w:val="00906490"/>
    <w:rsid w:val="009111B2"/>
    <w:rsid w:val="009112EF"/>
    <w:rsid w:val="00914C7A"/>
    <w:rsid w:val="009151F5"/>
    <w:rsid w:val="0091749E"/>
    <w:rsid w:val="00920AC7"/>
    <w:rsid w:val="0092130A"/>
    <w:rsid w:val="00921BDC"/>
    <w:rsid w:val="009220CA"/>
    <w:rsid w:val="009223D6"/>
    <w:rsid w:val="00923502"/>
    <w:rsid w:val="00924AE1"/>
    <w:rsid w:val="00925967"/>
    <w:rsid w:val="00925AA1"/>
    <w:rsid w:val="009269B1"/>
    <w:rsid w:val="0092724D"/>
    <w:rsid w:val="009272B3"/>
    <w:rsid w:val="009315BE"/>
    <w:rsid w:val="0093338F"/>
    <w:rsid w:val="00933860"/>
    <w:rsid w:val="0093575C"/>
    <w:rsid w:val="00936F53"/>
    <w:rsid w:val="0093782A"/>
    <w:rsid w:val="00937BD9"/>
    <w:rsid w:val="00940527"/>
    <w:rsid w:val="00941CAA"/>
    <w:rsid w:val="00943AA0"/>
    <w:rsid w:val="00943B76"/>
    <w:rsid w:val="009444E9"/>
    <w:rsid w:val="009450D6"/>
    <w:rsid w:val="00945493"/>
    <w:rsid w:val="00946CB4"/>
    <w:rsid w:val="00950155"/>
    <w:rsid w:val="009506AB"/>
    <w:rsid w:val="00950E2C"/>
    <w:rsid w:val="00951D50"/>
    <w:rsid w:val="009525EB"/>
    <w:rsid w:val="0095470B"/>
    <w:rsid w:val="00954874"/>
    <w:rsid w:val="00954FD9"/>
    <w:rsid w:val="00955342"/>
    <w:rsid w:val="00955FEA"/>
    <w:rsid w:val="0095615A"/>
    <w:rsid w:val="00960071"/>
    <w:rsid w:val="009602C3"/>
    <w:rsid w:val="00960DEF"/>
    <w:rsid w:val="00961400"/>
    <w:rsid w:val="00961701"/>
    <w:rsid w:val="00962225"/>
    <w:rsid w:val="00962D4D"/>
    <w:rsid w:val="00963646"/>
    <w:rsid w:val="0096496C"/>
    <w:rsid w:val="0096632D"/>
    <w:rsid w:val="009718C7"/>
    <w:rsid w:val="00972F9F"/>
    <w:rsid w:val="0097453B"/>
    <w:rsid w:val="0097559F"/>
    <w:rsid w:val="00975893"/>
    <w:rsid w:val="009761D4"/>
    <w:rsid w:val="009770B8"/>
    <w:rsid w:val="0097761E"/>
    <w:rsid w:val="00982454"/>
    <w:rsid w:val="00982518"/>
    <w:rsid w:val="00982A32"/>
    <w:rsid w:val="00982CF0"/>
    <w:rsid w:val="00984456"/>
    <w:rsid w:val="009853E1"/>
    <w:rsid w:val="009861B2"/>
    <w:rsid w:val="00986E6B"/>
    <w:rsid w:val="00986FB7"/>
    <w:rsid w:val="00987882"/>
    <w:rsid w:val="00987C80"/>
    <w:rsid w:val="00990032"/>
    <w:rsid w:val="00990B19"/>
    <w:rsid w:val="0099153B"/>
    <w:rsid w:val="00991769"/>
    <w:rsid w:val="0099232C"/>
    <w:rsid w:val="00994386"/>
    <w:rsid w:val="00994E1D"/>
    <w:rsid w:val="0099543B"/>
    <w:rsid w:val="009A13D8"/>
    <w:rsid w:val="009A228F"/>
    <w:rsid w:val="009A279E"/>
    <w:rsid w:val="009A3015"/>
    <w:rsid w:val="009A3490"/>
    <w:rsid w:val="009A3DDF"/>
    <w:rsid w:val="009A4452"/>
    <w:rsid w:val="009A600F"/>
    <w:rsid w:val="009A7740"/>
    <w:rsid w:val="009A7BF1"/>
    <w:rsid w:val="009B0A6F"/>
    <w:rsid w:val="009B0A94"/>
    <w:rsid w:val="009B2922"/>
    <w:rsid w:val="009B2AE8"/>
    <w:rsid w:val="009B33BD"/>
    <w:rsid w:val="009B4233"/>
    <w:rsid w:val="009B46C9"/>
    <w:rsid w:val="009B4C72"/>
    <w:rsid w:val="009B59E9"/>
    <w:rsid w:val="009B70AA"/>
    <w:rsid w:val="009C0CE7"/>
    <w:rsid w:val="009C2DC7"/>
    <w:rsid w:val="009C48C2"/>
    <w:rsid w:val="009C5E77"/>
    <w:rsid w:val="009C7A7E"/>
    <w:rsid w:val="009C7C3E"/>
    <w:rsid w:val="009D02E8"/>
    <w:rsid w:val="009D032E"/>
    <w:rsid w:val="009D0923"/>
    <w:rsid w:val="009D167D"/>
    <w:rsid w:val="009D2565"/>
    <w:rsid w:val="009D27E2"/>
    <w:rsid w:val="009D3467"/>
    <w:rsid w:val="009D4F7C"/>
    <w:rsid w:val="009D51D0"/>
    <w:rsid w:val="009D70A4"/>
    <w:rsid w:val="009D7B14"/>
    <w:rsid w:val="009D7CA7"/>
    <w:rsid w:val="009E08D1"/>
    <w:rsid w:val="009E1815"/>
    <w:rsid w:val="009E1B95"/>
    <w:rsid w:val="009E1DB0"/>
    <w:rsid w:val="009E2D2E"/>
    <w:rsid w:val="009E496F"/>
    <w:rsid w:val="009E4B0D"/>
    <w:rsid w:val="009E5250"/>
    <w:rsid w:val="009E6002"/>
    <w:rsid w:val="009E7F92"/>
    <w:rsid w:val="009F02A3"/>
    <w:rsid w:val="009F178A"/>
    <w:rsid w:val="009F1BD3"/>
    <w:rsid w:val="009F1FBB"/>
    <w:rsid w:val="009F2230"/>
    <w:rsid w:val="009F2F27"/>
    <w:rsid w:val="009F34AA"/>
    <w:rsid w:val="009F4E03"/>
    <w:rsid w:val="009F5926"/>
    <w:rsid w:val="009F5C7D"/>
    <w:rsid w:val="009F6BCB"/>
    <w:rsid w:val="009F70C2"/>
    <w:rsid w:val="009F74BD"/>
    <w:rsid w:val="009F7B78"/>
    <w:rsid w:val="009F7C7C"/>
    <w:rsid w:val="00A0057A"/>
    <w:rsid w:val="00A02879"/>
    <w:rsid w:val="00A02BC3"/>
    <w:rsid w:val="00A02FA1"/>
    <w:rsid w:val="00A04551"/>
    <w:rsid w:val="00A04CCE"/>
    <w:rsid w:val="00A04DF6"/>
    <w:rsid w:val="00A060C9"/>
    <w:rsid w:val="00A073AE"/>
    <w:rsid w:val="00A07421"/>
    <w:rsid w:val="00A076D1"/>
    <w:rsid w:val="00A0776B"/>
    <w:rsid w:val="00A1008A"/>
    <w:rsid w:val="00A10F9E"/>
    <w:rsid w:val="00A10FB9"/>
    <w:rsid w:val="00A1120A"/>
    <w:rsid w:val="00A11421"/>
    <w:rsid w:val="00A13898"/>
    <w:rsid w:val="00A1389F"/>
    <w:rsid w:val="00A1406E"/>
    <w:rsid w:val="00A157B1"/>
    <w:rsid w:val="00A15BD5"/>
    <w:rsid w:val="00A16260"/>
    <w:rsid w:val="00A16974"/>
    <w:rsid w:val="00A200F6"/>
    <w:rsid w:val="00A20217"/>
    <w:rsid w:val="00A22229"/>
    <w:rsid w:val="00A24442"/>
    <w:rsid w:val="00A24B95"/>
    <w:rsid w:val="00A259AB"/>
    <w:rsid w:val="00A25A2E"/>
    <w:rsid w:val="00A276BD"/>
    <w:rsid w:val="00A31AD6"/>
    <w:rsid w:val="00A32BE5"/>
    <w:rsid w:val="00A32CFF"/>
    <w:rsid w:val="00A330BB"/>
    <w:rsid w:val="00A33260"/>
    <w:rsid w:val="00A3371E"/>
    <w:rsid w:val="00A34681"/>
    <w:rsid w:val="00A4039A"/>
    <w:rsid w:val="00A40FA2"/>
    <w:rsid w:val="00A42337"/>
    <w:rsid w:val="00A44882"/>
    <w:rsid w:val="00A45125"/>
    <w:rsid w:val="00A45445"/>
    <w:rsid w:val="00A46484"/>
    <w:rsid w:val="00A46527"/>
    <w:rsid w:val="00A46B78"/>
    <w:rsid w:val="00A47927"/>
    <w:rsid w:val="00A504FD"/>
    <w:rsid w:val="00A51018"/>
    <w:rsid w:val="00A533C5"/>
    <w:rsid w:val="00A537A0"/>
    <w:rsid w:val="00A53E53"/>
    <w:rsid w:val="00A54715"/>
    <w:rsid w:val="00A5638B"/>
    <w:rsid w:val="00A567D1"/>
    <w:rsid w:val="00A57157"/>
    <w:rsid w:val="00A57BDF"/>
    <w:rsid w:val="00A6061C"/>
    <w:rsid w:val="00A62311"/>
    <w:rsid w:val="00A62D44"/>
    <w:rsid w:val="00A63533"/>
    <w:rsid w:val="00A64D98"/>
    <w:rsid w:val="00A67263"/>
    <w:rsid w:val="00A7161C"/>
    <w:rsid w:val="00A72BE0"/>
    <w:rsid w:val="00A73BEC"/>
    <w:rsid w:val="00A74BD8"/>
    <w:rsid w:val="00A75076"/>
    <w:rsid w:val="00A77AA3"/>
    <w:rsid w:val="00A807C0"/>
    <w:rsid w:val="00A80ABD"/>
    <w:rsid w:val="00A8236D"/>
    <w:rsid w:val="00A82DED"/>
    <w:rsid w:val="00A82E0E"/>
    <w:rsid w:val="00A83561"/>
    <w:rsid w:val="00A84533"/>
    <w:rsid w:val="00A849D3"/>
    <w:rsid w:val="00A854EB"/>
    <w:rsid w:val="00A872E5"/>
    <w:rsid w:val="00A91406"/>
    <w:rsid w:val="00A91642"/>
    <w:rsid w:val="00A96AA4"/>
    <w:rsid w:val="00A96E65"/>
    <w:rsid w:val="00A9774F"/>
    <w:rsid w:val="00A97C72"/>
    <w:rsid w:val="00AA02A6"/>
    <w:rsid w:val="00AA0CAE"/>
    <w:rsid w:val="00AA0DBF"/>
    <w:rsid w:val="00AA1121"/>
    <w:rsid w:val="00AA15AD"/>
    <w:rsid w:val="00AA1CE6"/>
    <w:rsid w:val="00AA1D7E"/>
    <w:rsid w:val="00AA268E"/>
    <w:rsid w:val="00AA310B"/>
    <w:rsid w:val="00AA63D4"/>
    <w:rsid w:val="00AA794B"/>
    <w:rsid w:val="00AB06E8"/>
    <w:rsid w:val="00AB0D94"/>
    <w:rsid w:val="00AB1BCF"/>
    <w:rsid w:val="00AB1CD3"/>
    <w:rsid w:val="00AB33A8"/>
    <w:rsid w:val="00AB352F"/>
    <w:rsid w:val="00AB3590"/>
    <w:rsid w:val="00AB4590"/>
    <w:rsid w:val="00AB5455"/>
    <w:rsid w:val="00AB6740"/>
    <w:rsid w:val="00AC274B"/>
    <w:rsid w:val="00AC297B"/>
    <w:rsid w:val="00AC2B6D"/>
    <w:rsid w:val="00AC4764"/>
    <w:rsid w:val="00AC6D36"/>
    <w:rsid w:val="00AC7E6D"/>
    <w:rsid w:val="00AD0CBA"/>
    <w:rsid w:val="00AD177A"/>
    <w:rsid w:val="00AD2087"/>
    <w:rsid w:val="00AD26E2"/>
    <w:rsid w:val="00AD4C0B"/>
    <w:rsid w:val="00AD63D2"/>
    <w:rsid w:val="00AD6F1E"/>
    <w:rsid w:val="00AD784C"/>
    <w:rsid w:val="00AE126A"/>
    <w:rsid w:val="00AE1BAE"/>
    <w:rsid w:val="00AE3005"/>
    <w:rsid w:val="00AE3BD5"/>
    <w:rsid w:val="00AE4A6E"/>
    <w:rsid w:val="00AE57DC"/>
    <w:rsid w:val="00AE59A0"/>
    <w:rsid w:val="00AF004F"/>
    <w:rsid w:val="00AF0C57"/>
    <w:rsid w:val="00AF26F3"/>
    <w:rsid w:val="00AF489E"/>
    <w:rsid w:val="00AF5F04"/>
    <w:rsid w:val="00AF68CF"/>
    <w:rsid w:val="00B0014F"/>
    <w:rsid w:val="00B00672"/>
    <w:rsid w:val="00B00B53"/>
    <w:rsid w:val="00B01B4D"/>
    <w:rsid w:val="00B03977"/>
    <w:rsid w:val="00B039F5"/>
    <w:rsid w:val="00B04C4F"/>
    <w:rsid w:val="00B0547B"/>
    <w:rsid w:val="00B06571"/>
    <w:rsid w:val="00B068BA"/>
    <w:rsid w:val="00B07FBB"/>
    <w:rsid w:val="00B07FF7"/>
    <w:rsid w:val="00B11269"/>
    <w:rsid w:val="00B127ED"/>
    <w:rsid w:val="00B13799"/>
    <w:rsid w:val="00B13851"/>
    <w:rsid w:val="00B13B1C"/>
    <w:rsid w:val="00B14224"/>
    <w:rsid w:val="00B14780"/>
    <w:rsid w:val="00B14D01"/>
    <w:rsid w:val="00B15A6C"/>
    <w:rsid w:val="00B17968"/>
    <w:rsid w:val="00B20232"/>
    <w:rsid w:val="00B20FFD"/>
    <w:rsid w:val="00B212FB"/>
    <w:rsid w:val="00B21406"/>
    <w:rsid w:val="00B214F3"/>
    <w:rsid w:val="00B21F90"/>
    <w:rsid w:val="00B22019"/>
    <w:rsid w:val="00B22291"/>
    <w:rsid w:val="00B23F9A"/>
    <w:rsid w:val="00B2417B"/>
    <w:rsid w:val="00B24E6F"/>
    <w:rsid w:val="00B25D6B"/>
    <w:rsid w:val="00B26B7D"/>
    <w:rsid w:val="00B26CB5"/>
    <w:rsid w:val="00B2714B"/>
    <w:rsid w:val="00B2752E"/>
    <w:rsid w:val="00B307CC"/>
    <w:rsid w:val="00B319D5"/>
    <w:rsid w:val="00B31F42"/>
    <w:rsid w:val="00B326B7"/>
    <w:rsid w:val="00B32DC7"/>
    <w:rsid w:val="00B32DDF"/>
    <w:rsid w:val="00B34097"/>
    <w:rsid w:val="00B3588E"/>
    <w:rsid w:val="00B37E4E"/>
    <w:rsid w:val="00B40B76"/>
    <w:rsid w:val="00B40DED"/>
    <w:rsid w:val="00B41F3D"/>
    <w:rsid w:val="00B431E8"/>
    <w:rsid w:val="00B45141"/>
    <w:rsid w:val="00B46DE7"/>
    <w:rsid w:val="00B519CD"/>
    <w:rsid w:val="00B526D0"/>
    <w:rsid w:val="00B5273A"/>
    <w:rsid w:val="00B52F71"/>
    <w:rsid w:val="00B53AF8"/>
    <w:rsid w:val="00B5401F"/>
    <w:rsid w:val="00B54F11"/>
    <w:rsid w:val="00B554E2"/>
    <w:rsid w:val="00B55BB7"/>
    <w:rsid w:val="00B56127"/>
    <w:rsid w:val="00B57329"/>
    <w:rsid w:val="00B60006"/>
    <w:rsid w:val="00B6076F"/>
    <w:rsid w:val="00B60E61"/>
    <w:rsid w:val="00B615A7"/>
    <w:rsid w:val="00B62703"/>
    <w:rsid w:val="00B62B50"/>
    <w:rsid w:val="00B62F7F"/>
    <w:rsid w:val="00B634DF"/>
    <w:rsid w:val="00B635B7"/>
    <w:rsid w:val="00B63996"/>
    <w:rsid w:val="00B63AE8"/>
    <w:rsid w:val="00B65950"/>
    <w:rsid w:val="00B66D83"/>
    <w:rsid w:val="00B672C0"/>
    <w:rsid w:val="00B6757D"/>
    <w:rsid w:val="00B676FD"/>
    <w:rsid w:val="00B7020F"/>
    <w:rsid w:val="00B710E7"/>
    <w:rsid w:val="00B71368"/>
    <w:rsid w:val="00B72B2A"/>
    <w:rsid w:val="00B72FDC"/>
    <w:rsid w:val="00B7402E"/>
    <w:rsid w:val="00B74DB4"/>
    <w:rsid w:val="00B75646"/>
    <w:rsid w:val="00B7576A"/>
    <w:rsid w:val="00B80F4E"/>
    <w:rsid w:val="00B83363"/>
    <w:rsid w:val="00B905BA"/>
    <w:rsid w:val="00B90729"/>
    <w:rsid w:val="00B907DA"/>
    <w:rsid w:val="00B90D9C"/>
    <w:rsid w:val="00B91376"/>
    <w:rsid w:val="00B92A3A"/>
    <w:rsid w:val="00B94C7E"/>
    <w:rsid w:val="00B94CD5"/>
    <w:rsid w:val="00B94EBF"/>
    <w:rsid w:val="00B950BC"/>
    <w:rsid w:val="00B95C2E"/>
    <w:rsid w:val="00B9714C"/>
    <w:rsid w:val="00B97278"/>
    <w:rsid w:val="00B9754C"/>
    <w:rsid w:val="00BA1811"/>
    <w:rsid w:val="00BA29AD"/>
    <w:rsid w:val="00BA33CF"/>
    <w:rsid w:val="00BA3F8D"/>
    <w:rsid w:val="00BA42C4"/>
    <w:rsid w:val="00BA4B60"/>
    <w:rsid w:val="00BA5B48"/>
    <w:rsid w:val="00BA5FB4"/>
    <w:rsid w:val="00BB1FE5"/>
    <w:rsid w:val="00BB2C77"/>
    <w:rsid w:val="00BB2F4B"/>
    <w:rsid w:val="00BB3130"/>
    <w:rsid w:val="00BB5862"/>
    <w:rsid w:val="00BB6A43"/>
    <w:rsid w:val="00BB7A10"/>
    <w:rsid w:val="00BB7C30"/>
    <w:rsid w:val="00BC0B2E"/>
    <w:rsid w:val="00BC0E55"/>
    <w:rsid w:val="00BC21D6"/>
    <w:rsid w:val="00BC3287"/>
    <w:rsid w:val="00BC3E8F"/>
    <w:rsid w:val="00BC4666"/>
    <w:rsid w:val="00BC54E1"/>
    <w:rsid w:val="00BC57ED"/>
    <w:rsid w:val="00BC60BE"/>
    <w:rsid w:val="00BC63D4"/>
    <w:rsid w:val="00BC6A84"/>
    <w:rsid w:val="00BC7468"/>
    <w:rsid w:val="00BC7D4F"/>
    <w:rsid w:val="00BC7ED7"/>
    <w:rsid w:val="00BD1764"/>
    <w:rsid w:val="00BD2850"/>
    <w:rsid w:val="00BD2C17"/>
    <w:rsid w:val="00BD45FB"/>
    <w:rsid w:val="00BD4A65"/>
    <w:rsid w:val="00BD4EF2"/>
    <w:rsid w:val="00BD596B"/>
    <w:rsid w:val="00BD67BC"/>
    <w:rsid w:val="00BD7FA5"/>
    <w:rsid w:val="00BE01C6"/>
    <w:rsid w:val="00BE0886"/>
    <w:rsid w:val="00BE28D2"/>
    <w:rsid w:val="00BE4A64"/>
    <w:rsid w:val="00BE5E43"/>
    <w:rsid w:val="00BE67AF"/>
    <w:rsid w:val="00BF1203"/>
    <w:rsid w:val="00BF30B2"/>
    <w:rsid w:val="00BF3209"/>
    <w:rsid w:val="00BF3623"/>
    <w:rsid w:val="00BF3FEB"/>
    <w:rsid w:val="00BF4579"/>
    <w:rsid w:val="00BF4727"/>
    <w:rsid w:val="00BF557D"/>
    <w:rsid w:val="00BF7F58"/>
    <w:rsid w:val="00BF7F69"/>
    <w:rsid w:val="00C0028E"/>
    <w:rsid w:val="00C00439"/>
    <w:rsid w:val="00C004C6"/>
    <w:rsid w:val="00C01381"/>
    <w:rsid w:val="00C01A5C"/>
    <w:rsid w:val="00C01AB1"/>
    <w:rsid w:val="00C01CA2"/>
    <w:rsid w:val="00C026A0"/>
    <w:rsid w:val="00C0278F"/>
    <w:rsid w:val="00C03AE4"/>
    <w:rsid w:val="00C03EEA"/>
    <w:rsid w:val="00C03F09"/>
    <w:rsid w:val="00C06137"/>
    <w:rsid w:val="00C079B8"/>
    <w:rsid w:val="00C10037"/>
    <w:rsid w:val="00C11565"/>
    <w:rsid w:val="00C123EA"/>
    <w:rsid w:val="00C12A49"/>
    <w:rsid w:val="00C133EE"/>
    <w:rsid w:val="00C149D0"/>
    <w:rsid w:val="00C15DE3"/>
    <w:rsid w:val="00C17888"/>
    <w:rsid w:val="00C2419E"/>
    <w:rsid w:val="00C26588"/>
    <w:rsid w:val="00C26DCD"/>
    <w:rsid w:val="00C279C3"/>
    <w:rsid w:val="00C27DE9"/>
    <w:rsid w:val="00C30DC8"/>
    <w:rsid w:val="00C313B9"/>
    <w:rsid w:val="00C31B2C"/>
    <w:rsid w:val="00C32989"/>
    <w:rsid w:val="00C33388"/>
    <w:rsid w:val="00C333B5"/>
    <w:rsid w:val="00C33505"/>
    <w:rsid w:val="00C3447A"/>
    <w:rsid w:val="00C34F83"/>
    <w:rsid w:val="00C35484"/>
    <w:rsid w:val="00C3786D"/>
    <w:rsid w:val="00C378A4"/>
    <w:rsid w:val="00C37C13"/>
    <w:rsid w:val="00C40671"/>
    <w:rsid w:val="00C416E1"/>
    <w:rsid w:val="00C4173A"/>
    <w:rsid w:val="00C42CBE"/>
    <w:rsid w:val="00C43A2C"/>
    <w:rsid w:val="00C50DED"/>
    <w:rsid w:val="00C516DF"/>
    <w:rsid w:val="00C53400"/>
    <w:rsid w:val="00C536D4"/>
    <w:rsid w:val="00C56391"/>
    <w:rsid w:val="00C602FF"/>
    <w:rsid w:val="00C60798"/>
    <w:rsid w:val="00C61076"/>
    <w:rsid w:val="00C61174"/>
    <w:rsid w:val="00C6148F"/>
    <w:rsid w:val="00C61E27"/>
    <w:rsid w:val="00C621B1"/>
    <w:rsid w:val="00C62F7A"/>
    <w:rsid w:val="00C63B9C"/>
    <w:rsid w:val="00C64CA1"/>
    <w:rsid w:val="00C65F21"/>
    <w:rsid w:val="00C667EA"/>
    <w:rsid w:val="00C6682F"/>
    <w:rsid w:val="00C67BF4"/>
    <w:rsid w:val="00C7085C"/>
    <w:rsid w:val="00C70A9B"/>
    <w:rsid w:val="00C717C9"/>
    <w:rsid w:val="00C7275E"/>
    <w:rsid w:val="00C73919"/>
    <w:rsid w:val="00C74B42"/>
    <w:rsid w:val="00C74C5D"/>
    <w:rsid w:val="00C76972"/>
    <w:rsid w:val="00C801D9"/>
    <w:rsid w:val="00C82923"/>
    <w:rsid w:val="00C83EEB"/>
    <w:rsid w:val="00C85E24"/>
    <w:rsid w:val="00C863C4"/>
    <w:rsid w:val="00C8746D"/>
    <w:rsid w:val="00C87D30"/>
    <w:rsid w:val="00C87F3C"/>
    <w:rsid w:val="00C908CA"/>
    <w:rsid w:val="00C90A0C"/>
    <w:rsid w:val="00C920EA"/>
    <w:rsid w:val="00C93C3E"/>
    <w:rsid w:val="00C943AC"/>
    <w:rsid w:val="00C945F0"/>
    <w:rsid w:val="00C94C9B"/>
    <w:rsid w:val="00C968B5"/>
    <w:rsid w:val="00CA12E3"/>
    <w:rsid w:val="00CA1476"/>
    <w:rsid w:val="00CA23F6"/>
    <w:rsid w:val="00CA2F40"/>
    <w:rsid w:val="00CA35FD"/>
    <w:rsid w:val="00CA381F"/>
    <w:rsid w:val="00CA573A"/>
    <w:rsid w:val="00CA6611"/>
    <w:rsid w:val="00CA6AE6"/>
    <w:rsid w:val="00CA782F"/>
    <w:rsid w:val="00CB187B"/>
    <w:rsid w:val="00CB2835"/>
    <w:rsid w:val="00CB3285"/>
    <w:rsid w:val="00CB3544"/>
    <w:rsid w:val="00CB43CA"/>
    <w:rsid w:val="00CB4500"/>
    <w:rsid w:val="00CB71F3"/>
    <w:rsid w:val="00CB7800"/>
    <w:rsid w:val="00CC0449"/>
    <w:rsid w:val="00CC0C72"/>
    <w:rsid w:val="00CC2941"/>
    <w:rsid w:val="00CC2BFD"/>
    <w:rsid w:val="00CC4863"/>
    <w:rsid w:val="00CC5F52"/>
    <w:rsid w:val="00CC6285"/>
    <w:rsid w:val="00CC64DA"/>
    <w:rsid w:val="00CD0144"/>
    <w:rsid w:val="00CD021D"/>
    <w:rsid w:val="00CD188E"/>
    <w:rsid w:val="00CD3476"/>
    <w:rsid w:val="00CD4147"/>
    <w:rsid w:val="00CD4ABC"/>
    <w:rsid w:val="00CD64DF"/>
    <w:rsid w:val="00CD7024"/>
    <w:rsid w:val="00CE17CA"/>
    <w:rsid w:val="00CE1BF9"/>
    <w:rsid w:val="00CE225F"/>
    <w:rsid w:val="00CE7289"/>
    <w:rsid w:val="00CE7E7C"/>
    <w:rsid w:val="00CF0EB5"/>
    <w:rsid w:val="00CF12AF"/>
    <w:rsid w:val="00CF221B"/>
    <w:rsid w:val="00CF2966"/>
    <w:rsid w:val="00CF2F50"/>
    <w:rsid w:val="00CF32F1"/>
    <w:rsid w:val="00CF5957"/>
    <w:rsid w:val="00CF6198"/>
    <w:rsid w:val="00CF6E8E"/>
    <w:rsid w:val="00CF786F"/>
    <w:rsid w:val="00D017A7"/>
    <w:rsid w:val="00D02919"/>
    <w:rsid w:val="00D02948"/>
    <w:rsid w:val="00D03CD5"/>
    <w:rsid w:val="00D04A55"/>
    <w:rsid w:val="00D04C50"/>
    <w:rsid w:val="00D04C61"/>
    <w:rsid w:val="00D04D54"/>
    <w:rsid w:val="00D0514E"/>
    <w:rsid w:val="00D05B8D"/>
    <w:rsid w:val="00D05D39"/>
    <w:rsid w:val="00D065A2"/>
    <w:rsid w:val="00D079AA"/>
    <w:rsid w:val="00D07BED"/>
    <w:rsid w:val="00D07F00"/>
    <w:rsid w:val="00D1103C"/>
    <w:rsid w:val="00D1130F"/>
    <w:rsid w:val="00D12A78"/>
    <w:rsid w:val="00D17B34"/>
    <w:rsid w:val="00D17B72"/>
    <w:rsid w:val="00D17C8A"/>
    <w:rsid w:val="00D20380"/>
    <w:rsid w:val="00D2221E"/>
    <w:rsid w:val="00D2274A"/>
    <w:rsid w:val="00D241F2"/>
    <w:rsid w:val="00D248E6"/>
    <w:rsid w:val="00D26B20"/>
    <w:rsid w:val="00D311F7"/>
    <w:rsid w:val="00D3185C"/>
    <w:rsid w:val="00D3205F"/>
    <w:rsid w:val="00D321C6"/>
    <w:rsid w:val="00D3318E"/>
    <w:rsid w:val="00D333DC"/>
    <w:rsid w:val="00D33BDE"/>
    <w:rsid w:val="00D33E72"/>
    <w:rsid w:val="00D340DB"/>
    <w:rsid w:val="00D34F90"/>
    <w:rsid w:val="00D3508E"/>
    <w:rsid w:val="00D35BD6"/>
    <w:rsid w:val="00D361B5"/>
    <w:rsid w:val="00D37D10"/>
    <w:rsid w:val="00D405AC"/>
    <w:rsid w:val="00D411A2"/>
    <w:rsid w:val="00D43514"/>
    <w:rsid w:val="00D4606D"/>
    <w:rsid w:val="00D46B53"/>
    <w:rsid w:val="00D46C92"/>
    <w:rsid w:val="00D47D18"/>
    <w:rsid w:val="00D47F85"/>
    <w:rsid w:val="00D50B9C"/>
    <w:rsid w:val="00D51EB7"/>
    <w:rsid w:val="00D52D73"/>
    <w:rsid w:val="00D52E58"/>
    <w:rsid w:val="00D537B3"/>
    <w:rsid w:val="00D538AD"/>
    <w:rsid w:val="00D53E3B"/>
    <w:rsid w:val="00D55CF8"/>
    <w:rsid w:val="00D56B20"/>
    <w:rsid w:val="00D578B3"/>
    <w:rsid w:val="00D618F4"/>
    <w:rsid w:val="00D624A3"/>
    <w:rsid w:val="00D63C71"/>
    <w:rsid w:val="00D6603A"/>
    <w:rsid w:val="00D666CF"/>
    <w:rsid w:val="00D705EC"/>
    <w:rsid w:val="00D714CC"/>
    <w:rsid w:val="00D71E10"/>
    <w:rsid w:val="00D75EA7"/>
    <w:rsid w:val="00D81ADF"/>
    <w:rsid w:val="00D81F21"/>
    <w:rsid w:val="00D82183"/>
    <w:rsid w:val="00D82B7C"/>
    <w:rsid w:val="00D8566A"/>
    <w:rsid w:val="00D864F2"/>
    <w:rsid w:val="00D86C06"/>
    <w:rsid w:val="00D87E1E"/>
    <w:rsid w:val="00D92F95"/>
    <w:rsid w:val="00D93FB3"/>
    <w:rsid w:val="00D943F8"/>
    <w:rsid w:val="00D94C43"/>
    <w:rsid w:val="00D95470"/>
    <w:rsid w:val="00D96225"/>
    <w:rsid w:val="00D9631D"/>
    <w:rsid w:val="00D96B55"/>
    <w:rsid w:val="00DA059F"/>
    <w:rsid w:val="00DA2619"/>
    <w:rsid w:val="00DA29BA"/>
    <w:rsid w:val="00DA4239"/>
    <w:rsid w:val="00DA65DE"/>
    <w:rsid w:val="00DA76DE"/>
    <w:rsid w:val="00DB08F6"/>
    <w:rsid w:val="00DB0B61"/>
    <w:rsid w:val="00DB1474"/>
    <w:rsid w:val="00DB2962"/>
    <w:rsid w:val="00DB2BD9"/>
    <w:rsid w:val="00DB2D36"/>
    <w:rsid w:val="00DB5050"/>
    <w:rsid w:val="00DB52FB"/>
    <w:rsid w:val="00DB5814"/>
    <w:rsid w:val="00DB66AC"/>
    <w:rsid w:val="00DC013B"/>
    <w:rsid w:val="00DC090B"/>
    <w:rsid w:val="00DC1679"/>
    <w:rsid w:val="00DC219B"/>
    <w:rsid w:val="00DC27F9"/>
    <w:rsid w:val="00DC2CF1"/>
    <w:rsid w:val="00DC3D96"/>
    <w:rsid w:val="00DC4FCF"/>
    <w:rsid w:val="00DC50E0"/>
    <w:rsid w:val="00DC576B"/>
    <w:rsid w:val="00DC6386"/>
    <w:rsid w:val="00DC6430"/>
    <w:rsid w:val="00DC7900"/>
    <w:rsid w:val="00DD0E20"/>
    <w:rsid w:val="00DD1130"/>
    <w:rsid w:val="00DD16D1"/>
    <w:rsid w:val="00DD1951"/>
    <w:rsid w:val="00DD2077"/>
    <w:rsid w:val="00DD3E58"/>
    <w:rsid w:val="00DD410D"/>
    <w:rsid w:val="00DD487D"/>
    <w:rsid w:val="00DD4E83"/>
    <w:rsid w:val="00DD6628"/>
    <w:rsid w:val="00DD6945"/>
    <w:rsid w:val="00DD6C13"/>
    <w:rsid w:val="00DE2D04"/>
    <w:rsid w:val="00DE2F29"/>
    <w:rsid w:val="00DE3250"/>
    <w:rsid w:val="00DE451A"/>
    <w:rsid w:val="00DE5A7C"/>
    <w:rsid w:val="00DE5D59"/>
    <w:rsid w:val="00DE6028"/>
    <w:rsid w:val="00DE78A3"/>
    <w:rsid w:val="00DF1A71"/>
    <w:rsid w:val="00DF24C7"/>
    <w:rsid w:val="00DF2521"/>
    <w:rsid w:val="00DF2656"/>
    <w:rsid w:val="00DF2AAC"/>
    <w:rsid w:val="00DF50FC"/>
    <w:rsid w:val="00DF5D67"/>
    <w:rsid w:val="00DF6371"/>
    <w:rsid w:val="00DF68C7"/>
    <w:rsid w:val="00DF731A"/>
    <w:rsid w:val="00DF7B30"/>
    <w:rsid w:val="00E01FE9"/>
    <w:rsid w:val="00E02AE2"/>
    <w:rsid w:val="00E034A0"/>
    <w:rsid w:val="00E03DB5"/>
    <w:rsid w:val="00E0583B"/>
    <w:rsid w:val="00E0634A"/>
    <w:rsid w:val="00E06B75"/>
    <w:rsid w:val="00E077EA"/>
    <w:rsid w:val="00E11332"/>
    <w:rsid w:val="00E11352"/>
    <w:rsid w:val="00E13F1D"/>
    <w:rsid w:val="00E170DC"/>
    <w:rsid w:val="00E174E4"/>
    <w:rsid w:val="00E17546"/>
    <w:rsid w:val="00E210B5"/>
    <w:rsid w:val="00E21571"/>
    <w:rsid w:val="00E215C2"/>
    <w:rsid w:val="00E21A5B"/>
    <w:rsid w:val="00E242FE"/>
    <w:rsid w:val="00E247A4"/>
    <w:rsid w:val="00E247A5"/>
    <w:rsid w:val="00E25DD3"/>
    <w:rsid w:val="00E261B3"/>
    <w:rsid w:val="00E26818"/>
    <w:rsid w:val="00E27FFC"/>
    <w:rsid w:val="00E30A27"/>
    <w:rsid w:val="00E30B15"/>
    <w:rsid w:val="00E30D0C"/>
    <w:rsid w:val="00E32447"/>
    <w:rsid w:val="00E32C90"/>
    <w:rsid w:val="00E33237"/>
    <w:rsid w:val="00E33D89"/>
    <w:rsid w:val="00E3403B"/>
    <w:rsid w:val="00E343CF"/>
    <w:rsid w:val="00E3737A"/>
    <w:rsid w:val="00E40181"/>
    <w:rsid w:val="00E404C0"/>
    <w:rsid w:val="00E42127"/>
    <w:rsid w:val="00E44FE5"/>
    <w:rsid w:val="00E452C5"/>
    <w:rsid w:val="00E503B6"/>
    <w:rsid w:val="00E51A45"/>
    <w:rsid w:val="00E51DA9"/>
    <w:rsid w:val="00E53BAD"/>
    <w:rsid w:val="00E54950"/>
    <w:rsid w:val="00E5542C"/>
    <w:rsid w:val="00E56A01"/>
    <w:rsid w:val="00E61AEA"/>
    <w:rsid w:val="00E61C69"/>
    <w:rsid w:val="00E61F07"/>
    <w:rsid w:val="00E62622"/>
    <w:rsid w:val="00E629A1"/>
    <w:rsid w:val="00E6587B"/>
    <w:rsid w:val="00E6794C"/>
    <w:rsid w:val="00E7030E"/>
    <w:rsid w:val="00E71591"/>
    <w:rsid w:val="00E71CEB"/>
    <w:rsid w:val="00E7474F"/>
    <w:rsid w:val="00E75C18"/>
    <w:rsid w:val="00E75C33"/>
    <w:rsid w:val="00E77D57"/>
    <w:rsid w:val="00E80DE3"/>
    <w:rsid w:val="00E80F49"/>
    <w:rsid w:val="00E81DD4"/>
    <w:rsid w:val="00E82926"/>
    <w:rsid w:val="00E82AF0"/>
    <w:rsid w:val="00E82C55"/>
    <w:rsid w:val="00E85D0F"/>
    <w:rsid w:val="00E8787E"/>
    <w:rsid w:val="00E92AC3"/>
    <w:rsid w:val="00E93BAA"/>
    <w:rsid w:val="00E9582C"/>
    <w:rsid w:val="00E96BF9"/>
    <w:rsid w:val="00EA021A"/>
    <w:rsid w:val="00EA05A2"/>
    <w:rsid w:val="00EA06C6"/>
    <w:rsid w:val="00EA1360"/>
    <w:rsid w:val="00EA209F"/>
    <w:rsid w:val="00EA2F6A"/>
    <w:rsid w:val="00EA7649"/>
    <w:rsid w:val="00EA7A96"/>
    <w:rsid w:val="00EB00E0"/>
    <w:rsid w:val="00EB016E"/>
    <w:rsid w:val="00EB289E"/>
    <w:rsid w:val="00EB67D6"/>
    <w:rsid w:val="00EB6A9A"/>
    <w:rsid w:val="00EB7093"/>
    <w:rsid w:val="00EB7120"/>
    <w:rsid w:val="00EC059F"/>
    <w:rsid w:val="00EC1F24"/>
    <w:rsid w:val="00EC22F6"/>
    <w:rsid w:val="00EC25CF"/>
    <w:rsid w:val="00EC3643"/>
    <w:rsid w:val="00EC40D5"/>
    <w:rsid w:val="00EC566D"/>
    <w:rsid w:val="00EC7057"/>
    <w:rsid w:val="00EC75EB"/>
    <w:rsid w:val="00ED0103"/>
    <w:rsid w:val="00ED1A6F"/>
    <w:rsid w:val="00ED2F93"/>
    <w:rsid w:val="00ED515D"/>
    <w:rsid w:val="00ED549F"/>
    <w:rsid w:val="00ED5B9B"/>
    <w:rsid w:val="00ED5D96"/>
    <w:rsid w:val="00ED6BAD"/>
    <w:rsid w:val="00ED7390"/>
    <w:rsid w:val="00ED743D"/>
    <w:rsid w:val="00ED7441"/>
    <w:rsid w:val="00ED7447"/>
    <w:rsid w:val="00ED7490"/>
    <w:rsid w:val="00EE00D6"/>
    <w:rsid w:val="00EE038F"/>
    <w:rsid w:val="00EE0A4B"/>
    <w:rsid w:val="00EE11E7"/>
    <w:rsid w:val="00EE1488"/>
    <w:rsid w:val="00EE21BB"/>
    <w:rsid w:val="00EE2364"/>
    <w:rsid w:val="00EE29AD"/>
    <w:rsid w:val="00EE3E24"/>
    <w:rsid w:val="00EE466A"/>
    <w:rsid w:val="00EE4D5D"/>
    <w:rsid w:val="00EE5131"/>
    <w:rsid w:val="00EE5337"/>
    <w:rsid w:val="00EE5E78"/>
    <w:rsid w:val="00EE7A13"/>
    <w:rsid w:val="00EF0F3B"/>
    <w:rsid w:val="00EF109B"/>
    <w:rsid w:val="00EF139C"/>
    <w:rsid w:val="00EF201C"/>
    <w:rsid w:val="00EF2742"/>
    <w:rsid w:val="00EF2986"/>
    <w:rsid w:val="00EF316B"/>
    <w:rsid w:val="00EF36AF"/>
    <w:rsid w:val="00EF59A3"/>
    <w:rsid w:val="00EF5F6B"/>
    <w:rsid w:val="00EF6675"/>
    <w:rsid w:val="00F006F1"/>
    <w:rsid w:val="00F00F63"/>
    <w:rsid w:val="00F00F9C"/>
    <w:rsid w:val="00F01E5F"/>
    <w:rsid w:val="00F024F3"/>
    <w:rsid w:val="00F02ABA"/>
    <w:rsid w:val="00F0437A"/>
    <w:rsid w:val="00F101B8"/>
    <w:rsid w:val="00F11037"/>
    <w:rsid w:val="00F113A1"/>
    <w:rsid w:val="00F119B0"/>
    <w:rsid w:val="00F11C6B"/>
    <w:rsid w:val="00F12D5E"/>
    <w:rsid w:val="00F12DAD"/>
    <w:rsid w:val="00F16F1B"/>
    <w:rsid w:val="00F17044"/>
    <w:rsid w:val="00F17F98"/>
    <w:rsid w:val="00F2220D"/>
    <w:rsid w:val="00F250A9"/>
    <w:rsid w:val="00F267AF"/>
    <w:rsid w:val="00F30AB9"/>
    <w:rsid w:val="00F30FF4"/>
    <w:rsid w:val="00F31016"/>
    <w:rsid w:val="00F3122E"/>
    <w:rsid w:val="00F32368"/>
    <w:rsid w:val="00F331AD"/>
    <w:rsid w:val="00F3351B"/>
    <w:rsid w:val="00F35287"/>
    <w:rsid w:val="00F35B91"/>
    <w:rsid w:val="00F36739"/>
    <w:rsid w:val="00F40A70"/>
    <w:rsid w:val="00F42C73"/>
    <w:rsid w:val="00F43A37"/>
    <w:rsid w:val="00F44705"/>
    <w:rsid w:val="00F451AB"/>
    <w:rsid w:val="00F45373"/>
    <w:rsid w:val="00F4641B"/>
    <w:rsid w:val="00F46EB8"/>
    <w:rsid w:val="00F50CD1"/>
    <w:rsid w:val="00F511E4"/>
    <w:rsid w:val="00F51563"/>
    <w:rsid w:val="00F525DD"/>
    <w:rsid w:val="00F526C7"/>
    <w:rsid w:val="00F52D09"/>
    <w:rsid w:val="00F52DA5"/>
    <w:rsid w:val="00F52E08"/>
    <w:rsid w:val="00F537BA"/>
    <w:rsid w:val="00F53A66"/>
    <w:rsid w:val="00F53DDD"/>
    <w:rsid w:val="00F541CC"/>
    <w:rsid w:val="00F5462D"/>
    <w:rsid w:val="00F55B21"/>
    <w:rsid w:val="00F5663E"/>
    <w:rsid w:val="00F56EF6"/>
    <w:rsid w:val="00F571B6"/>
    <w:rsid w:val="00F5728A"/>
    <w:rsid w:val="00F60082"/>
    <w:rsid w:val="00F60754"/>
    <w:rsid w:val="00F61A9F"/>
    <w:rsid w:val="00F61B5F"/>
    <w:rsid w:val="00F64696"/>
    <w:rsid w:val="00F65283"/>
    <w:rsid w:val="00F65AA9"/>
    <w:rsid w:val="00F6768F"/>
    <w:rsid w:val="00F70674"/>
    <w:rsid w:val="00F712D8"/>
    <w:rsid w:val="00F716E1"/>
    <w:rsid w:val="00F72C2C"/>
    <w:rsid w:val="00F73160"/>
    <w:rsid w:val="00F74517"/>
    <w:rsid w:val="00F74658"/>
    <w:rsid w:val="00F74B4A"/>
    <w:rsid w:val="00F756DA"/>
    <w:rsid w:val="00F76387"/>
    <w:rsid w:val="00F766A5"/>
    <w:rsid w:val="00F76CAB"/>
    <w:rsid w:val="00F772C6"/>
    <w:rsid w:val="00F815B5"/>
    <w:rsid w:val="00F81673"/>
    <w:rsid w:val="00F82191"/>
    <w:rsid w:val="00F82B09"/>
    <w:rsid w:val="00F84682"/>
    <w:rsid w:val="00F84FA0"/>
    <w:rsid w:val="00F85195"/>
    <w:rsid w:val="00F868E3"/>
    <w:rsid w:val="00F87356"/>
    <w:rsid w:val="00F92006"/>
    <w:rsid w:val="00F938BA"/>
    <w:rsid w:val="00F961AA"/>
    <w:rsid w:val="00F97281"/>
    <w:rsid w:val="00F97657"/>
    <w:rsid w:val="00F97919"/>
    <w:rsid w:val="00F97B67"/>
    <w:rsid w:val="00FA1991"/>
    <w:rsid w:val="00FA2C46"/>
    <w:rsid w:val="00FA3525"/>
    <w:rsid w:val="00FA3673"/>
    <w:rsid w:val="00FA3D2C"/>
    <w:rsid w:val="00FA421F"/>
    <w:rsid w:val="00FA5A53"/>
    <w:rsid w:val="00FA5F84"/>
    <w:rsid w:val="00FA647B"/>
    <w:rsid w:val="00FA6CF1"/>
    <w:rsid w:val="00FA6FFD"/>
    <w:rsid w:val="00FB03BE"/>
    <w:rsid w:val="00FB07E3"/>
    <w:rsid w:val="00FB2551"/>
    <w:rsid w:val="00FB377B"/>
    <w:rsid w:val="00FB3B41"/>
    <w:rsid w:val="00FB406D"/>
    <w:rsid w:val="00FB4099"/>
    <w:rsid w:val="00FB4769"/>
    <w:rsid w:val="00FB4CDA"/>
    <w:rsid w:val="00FB6481"/>
    <w:rsid w:val="00FB6D36"/>
    <w:rsid w:val="00FB7E62"/>
    <w:rsid w:val="00FC0965"/>
    <w:rsid w:val="00FC0F81"/>
    <w:rsid w:val="00FC13C8"/>
    <w:rsid w:val="00FC252F"/>
    <w:rsid w:val="00FC395C"/>
    <w:rsid w:val="00FC5E8E"/>
    <w:rsid w:val="00FC6C74"/>
    <w:rsid w:val="00FC7044"/>
    <w:rsid w:val="00FC7BD2"/>
    <w:rsid w:val="00FD01E9"/>
    <w:rsid w:val="00FD027A"/>
    <w:rsid w:val="00FD0536"/>
    <w:rsid w:val="00FD184F"/>
    <w:rsid w:val="00FD29F2"/>
    <w:rsid w:val="00FD3766"/>
    <w:rsid w:val="00FD3D58"/>
    <w:rsid w:val="00FD4785"/>
    <w:rsid w:val="00FD47C4"/>
    <w:rsid w:val="00FD5AE3"/>
    <w:rsid w:val="00FD6947"/>
    <w:rsid w:val="00FD6E9A"/>
    <w:rsid w:val="00FD722A"/>
    <w:rsid w:val="00FE2DCF"/>
    <w:rsid w:val="00FE3BB5"/>
    <w:rsid w:val="00FE3FA7"/>
    <w:rsid w:val="00FE6675"/>
    <w:rsid w:val="00FE7378"/>
    <w:rsid w:val="00FF05A9"/>
    <w:rsid w:val="00FF14F1"/>
    <w:rsid w:val="00FF1952"/>
    <w:rsid w:val="00FF1EEA"/>
    <w:rsid w:val="00FF23B3"/>
    <w:rsid w:val="00FF2A4E"/>
    <w:rsid w:val="00FF2C1B"/>
    <w:rsid w:val="00FF2FCE"/>
    <w:rsid w:val="00FF4434"/>
    <w:rsid w:val="00FF4DE4"/>
    <w:rsid w:val="00FF4F7D"/>
    <w:rsid w:val="00FF54DF"/>
    <w:rsid w:val="00FF56C7"/>
    <w:rsid w:val="00FF6D9D"/>
    <w:rsid w:val="00FF7DD5"/>
    <w:rsid w:val="00FF7E93"/>
    <w:rsid w:val="01D50ACC"/>
    <w:rsid w:val="0265645C"/>
    <w:rsid w:val="031F94BF"/>
    <w:rsid w:val="0458F1E6"/>
    <w:rsid w:val="0660C510"/>
    <w:rsid w:val="0776B4E4"/>
    <w:rsid w:val="093212E7"/>
    <w:rsid w:val="0A034CF4"/>
    <w:rsid w:val="0A4F5470"/>
    <w:rsid w:val="0ABC499B"/>
    <w:rsid w:val="0AF72C3E"/>
    <w:rsid w:val="0B2E8C31"/>
    <w:rsid w:val="0B72274B"/>
    <w:rsid w:val="0BC0CFA1"/>
    <w:rsid w:val="0BD40CFA"/>
    <w:rsid w:val="0C2C55BF"/>
    <w:rsid w:val="0D117EA4"/>
    <w:rsid w:val="0D1214C7"/>
    <w:rsid w:val="0D19B46E"/>
    <w:rsid w:val="0D76D6A0"/>
    <w:rsid w:val="0DC5A314"/>
    <w:rsid w:val="0DDBA52E"/>
    <w:rsid w:val="0E48EA8F"/>
    <w:rsid w:val="0E5BFCDB"/>
    <w:rsid w:val="0E844DC0"/>
    <w:rsid w:val="0EB437DB"/>
    <w:rsid w:val="0F7D9111"/>
    <w:rsid w:val="10C34C65"/>
    <w:rsid w:val="1104E0B5"/>
    <w:rsid w:val="124ADBB0"/>
    <w:rsid w:val="141C10A1"/>
    <w:rsid w:val="14BFE96C"/>
    <w:rsid w:val="15747110"/>
    <w:rsid w:val="158183DE"/>
    <w:rsid w:val="172711CA"/>
    <w:rsid w:val="18BF240F"/>
    <w:rsid w:val="18C27636"/>
    <w:rsid w:val="1A430C44"/>
    <w:rsid w:val="1A7BD021"/>
    <w:rsid w:val="1A80D0D8"/>
    <w:rsid w:val="1B6F6043"/>
    <w:rsid w:val="1B7ADF7A"/>
    <w:rsid w:val="1C52AD7B"/>
    <w:rsid w:val="1CCB5FF8"/>
    <w:rsid w:val="1D053E4F"/>
    <w:rsid w:val="1EBE157D"/>
    <w:rsid w:val="1EED4DB0"/>
    <w:rsid w:val="201C2917"/>
    <w:rsid w:val="204BC4D5"/>
    <w:rsid w:val="218937C6"/>
    <w:rsid w:val="21DE98F2"/>
    <w:rsid w:val="22119918"/>
    <w:rsid w:val="22222ED1"/>
    <w:rsid w:val="23416BD5"/>
    <w:rsid w:val="240D2F92"/>
    <w:rsid w:val="240D9216"/>
    <w:rsid w:val="24DE0A7D"/>
    <w:rsid w:val="259FF9D5"/>
    <w:rsid w:val="263BD86F"/>
    <w:rsid w:val="2672423E"/>
    <w:rsid w:val="268FE449"/>
    <w:rsid w:val="269087E7"/>
    <w:rsid w:val="278688BD"/>
    <w:rsid w:val="280E129F"/>
    <w:rsid w:val="28496126"/>
    <w:rsid w:val="28738959"/>
    <w:rsid w:val="28817CCE"/>
    <w:rsid w:val="28CA06D3"/>
    <w:rsid w:val="291F35DC"/>
    <w:rsid w:val="2983FBD7"/>
    <w:rsid w:val="29CCC8E8"/>
    <w:rsid w:val="2AE02FAC"/>
    <w:rsid w:val="2B688269"/>
    <w:rsid w:val="2B98F0CA"/>
    <w:rsid w:val="2BEFABEA"/>
    <w:rsid w:val="2DB4649E"/>
    <w:rsid w:val="2DB8B759"/>
    <w:rsid w:val="2EB767D9"/>
    <w:rsid w:val="2EC86AD0"/>
    <w:rsid w:val="2F27CA3F"/>
    <w:rsid w:val="30C7B779"/>
    <w:rsid w:val="31EC418E"/>
    <w:rsid w:val="33967A7E"/>
    <w:rsid w:val="33A571F2"/>
    <w:rsid w:val="34F4832D"/>
    <w:rsid w:val="356CF29E"/>
    <w:rsid w:val="35FEDEFD"/>
    <w:rsid w:val="377C28FB"/>
    <w:rsid w:val="3880FEE8"/>
    <w:rsid w:val="397D9372"/>
    <w:rsid w:val="39802ABC"/>
    <w:rsid w:val="39823ECE"/>
    <w:rsid w:val="3A23DE96"/>
    <w:rsid w:val="3A9AA160"/>
    <w:rsid w:val="3AA62146"/>
    <w:rsid w:val="3B552E50"/>
    <w:rsid w:val="3D07869F"/>
    <w:rsid w:val="40621900"/>
    <w:rsid w:val="407390FD"/>
    <w:rsid w:val="40AD2559"/>
    <w:rsid w:val="40CA19C3"/>
    <w:rsid w:val="40CCEE97"/>
    <w:rsid w:val="4125F814"/>
    <w:rsid w:val="41831451"/>
    <w:rsid w:val="42B84B3F"/>
    <w:rsid w:val="432289E7"/>
    <w:rsid w:val="435612E0"/>
    <w:rsid w:val="435D46D9"/>
    <w:rsid w:val="43E31778"/>
    <w:rsid w:val="43E6005B"/>
    <w:rsid w:val="43EEF93C"/>
    <w:rsid w:val="43FC1DE2"/>
    <w:rsid w:val="44195E58"/>
    <w:rsid w:val="44741C4D"/>
    <w:rsid w:val="4487CF71"/>
    <w:rsid w:val="454068C5"/>
    <w:rsid w:val="45C90F4C"/>
    <w:rsid w:val="464B6595"/>
    <w:rsid w:val="47804FEC"/>
    <w:rsid w:val="481EAE8A"/>
    <w:rsid w:val="48922380"/>
    <w:rsid w:val="498B01EC"/>
    <w:rsid w:val="4A6D7DDB"/>
    <w:rsid w:val="4A9CB6FC"/>
    <w:rsid w:val="4C548311"/>
    <w:rsid w:val="4CB1FBF9"/>
    <w:rsid w:val="4DCAFF47"/>
    <w:rsid w:val="4E227642"/>
    <w:rsid w:val="4E3975A2"/>
    <w:rsid w:val="4EA21E6B"/>
    <w:rsid w:val="4F0A9D3E"/>
    <w:rsid w:val="4F36BFFC"/>
    <w:rsid w:val="505F146D"/>
    <w:rsid w:val="51A2E56C"/>
    <w:rsid w:val="528F37FC"/>
    <w:rsid w:val="52C3C495"/>
    <w:rsid w:val="5395A15C"/>
    <w:rsid w:val="53FC1D71"/>
    <w:rsid w:val="54B59210"/>
    <w:rsid w:val="556302EA"/>
    <w:rsid w:val="55C08EE0"/>
    <w:rsid w:val="56AA0ACD"/>
    <w:rsid w:val="56DDE94C"/>
    <w:rsid w:val="573F4243"/>
    <w:rsid w:val="5772B103"/>
    <w:rsid w:val="5A0174E1"/>
    <w:rsid w:val="5A74BE55"/>
    <w:rsid w:val="5ACED67A"/>
    <w:rsid w:val="5AF9B9A6"/>
    <w:rsid w:val="5C563CC3"/>
    <w:rsid w:val="5D3915A3"/>
    <w:rsid w:val="5D574F7E"/>
    <w:rsid w:val="5DA78BFE"/>
    <w:rsid w:val="5E95E72D"/>
    <w:rsid w:val="5EC784CE"/>
    <w:rsid w:val="60257BA1"/>
    <w:rsid w:val="6063552F"/>
    <w:rsid w:val="6147D589"/>
    <w:rsid w:val="618A4E9A"/>
    <w:rsid w:val="6214DAE0"/>
    <w:rsid w:val="6245F803"/>
    <w:rsid w:val="62B6A6B8"/>
    <w:rsid w:val="62CE9873"/>
    <w:rsid w:val="63C30EF7"/>
    <w:rsid w:val="655B96AB"/>
    <w:rsid w:val="668E89C1"/>
    <w:rsid w:val="687C3B3E"/>
    <w:rsid w:val="6918A4F4"/>
    <w:rsid w:val="69A90AD6"/>
    <w:rsid w:val="6B70DB60"/>
    <w:rsid w:val="6BB255D2"/>
    <w:rsid w:val="6CAEC902"/>
    <w:rsid w:val="6DC9B1F7"/>
    <w:rsid w:val="6EA97B51"/>
    <w:rsid w:val="6EEC1E22"/>
    <w:rsid w:val="6FAB3894"/>
    <w:rsid w:val="709C225A"/>
    <w:rsid w:val="7215C124"/>
    <w:rsid w:val="72DF35F9"/>
    <w:rsid w:val="749B29BB"/>
    <w:rsid w:val="74F649FE"/>
    <w:rsid w:val="75312D61"/>
    <w:rsid w:val="7616D6BB"/>
    <w:rsid w:val="766075B8"/>
    <w:rsid w:val="76F0A803"/>
    <w:rsid w:val="7880B13D"/>
    <w:rsid w:val="796BC68B"/>
    <w:rsid w:val="7977126C"/>
    <w:rsid w:val="79EF7769"/>
    <w:rsid w:val="7A2848C5"/>
    <w:rsid w:val="7B18FE4F"/>
    <w:rsid w:val="7B644DCF"/>
    <w:rsid w:val="7CA5A590"/>
    <w:rsid w:val="7CB096C4"/>
    <w:rsid w:val="7DF83200"/>
    <w:rsid w:val="7E7C2422"/>
    <w:rsid w:val="7E847F15"/>
    <w:rsid w:val="7F3F81E7"/>
    <w:rsid w:val="7F4387B5"/>
    <w:rsid w:val="7FB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50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F42C73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57A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57ABB"/>
  </w:style>
  <w:style w:type="character" w:customStyle="1" w:styleId="eop">
    <w:name w:val="eop"/>
    <w:basedOn w:val="DefaultParagraphFont"/>
    <w:rsid w:val="00357ABB"/>
  </w:style>
  <w:style w:type="paragraph" w:customStyle="1" w:styleId="xparagraph">
    <w:name w:val="x_paragraph"/>
    <w:basedOn w:val="Normal"/>
    <w:rsid w:val="00836670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ui-provider">
    <w:name w:val="ui-provider"/>
    <w:basedOn w:val="DefaultParagraphFont"/>
    <w:rsid w:val="00A84533"/>
  </w:style>
  <w:style w:type="paragraph" w:styleId="ListParagraph">
    <w:name w:val="List Paragraph"/>
    <w:basedOn w:val="Normal"/>
    <w:uiPriority w:val="72"/>
    <w:semiHidden/>
    <w:qFormat/>
    <w:rsid w:val="000E54AF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A073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rpl-text-label">
    <w:name w:val="rpl-text-label"/>
    <w:basedOn w:val="DefaultParagraphFont"/>
    <w:rsid w:val="00EA05A2"/>
  </w:style>
  <w:style w:type="paragraph" w:styleId="NormalWeb">
    <w:name w:val="Normal (Web)"/>
    <w:basedOn w:val="Normal"/>
    <w:uiPriority w:val="99"/>
    <w:semiHidden/>
    <w:unhideWhenUsed/>
    <w:rsid w:val="00D51EB7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table" w:styleId="GridTable4">
    <w:name w:val="Grid Table 4"/>
    <w:basedOn w:val="TableNormal"/>
    <w:uiPriority w:val="49"/>
    <w:rsid w:val="009454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205D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immunisationhandbook.health.gov.au/" TargetMode="External"/><Relationship Id="rId26" Type="http://schemas.openxmlformats.org/officeDocument/2006/relationships/footer" Target="footer4.xml"/><Relationship Id="rId39" Type="http://schemas.openxmlformats.org/officeDocument/2006/relationships/hyperlink" Target="https://www.servicesaustralia.gov.au/air-vaccine-code-formats?context=22796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hyperlink" Target="https://www.health.vic.gov.au/immunisation/vaccine-error-management" TargetMode="External"/><Relationship Id="rId42" Type="http://schemas.openxmlformats.org/officeDocument/2006/relationships/hyperlink" Target="mailto:immunisation@health.vic.gov.a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health.gov.au/topics/immunisation/when-to-get-vaccinated/national-immunisation-program-schedule" TargetMode="External"/><Relationship Id="rId25" Type="http://schemas.openxmlformats.org/officeDocument/2006/relationships/hyperlink" Target="https://immunisationhandbook.health.gov.au/vaccines" TargetMode="External"/><Relationship Id="rId33" Type="http://schemas.openxmlformats.org/officeDocument/2006/relationships/hyperlink" Target="https://www.health.vic.gov.au/immunisation/cold-chain-breach-reporting" TargetMode="External"/><Relationship Id="rId38" Type="http://schemas.openxmlformats.org/officeDocument/2006/relationships/hyperlink" Target="https://www.health.gov.au/topics/immunisation?language=und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mmunisationhandbook.health.gov.au/contents/vaccination-procedures/administration-of-vaccines" TargetMode="External"/><Relationship Id="rId29" Type="http://schemas.openxmlformats.org/officeDocument/2006/relationships/hyperlink" Target="https://www.health.gov.au/resources/publications/national-vaccine-storage-guidelines-strive-for-5?language=en" TargetMode="External"/><Relationship Id="rId41" Type="http://schemas.openxmlformats.org/officeDocument/2006/relationships/hyperlink" Target="https://www.betterhealth.vic.gov.au/health/healthyliving/immunisation-childhoo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urldefense.com/v3/__https:/immunisationhandbook.health.gov.au/__;!!C5rN6bSF!DHVarjTQprpsIkjU6SCimHFqx414uDm1yA3UnzwBsRL-OvWfvKFlIhPnazjTInQ1_oZWAYjrULG5_9mIky3rb-7WJc0Qs28$" TargetMode="External"/><Relationship Id="rId32" Type="http://schemas.openxmlformats.org/officeDocument/2006/relationships/hyperlink" Target="https://www.health.vic.gov.au/immunisation/vaccine-error-management" TargetMode="External"/><Relationship Id="rId37" Type="http://schemas.openxmlformats.org/officeDocument/2006/relationships/hyperlink" Target="https://www.health.vic.gov.au/public-health/immunisation/" TargetMode="External"/><Relationship Id="rId40" Type="http://schemas.openxmlformats.org/officeDocument/2006/relationships/hyperlink" Target="https://immunisationhandbook.health.gov.au/vaccine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immunisationhandbook.health.gov.au/vaccines" TargetMode="External"/><Relationship Id="rId28" Type="http://schemas.openxmlformats.org/officeDocument/2006/relationships/hyperlink" Target="https://www.safevac.org.au/Home/Info/VIC" TargetMode="External"/><Relationship Id="rId36" Type="http://schemas.openxmlformats.org/officeDocument/2006/relationships/hyperlink" Target="mailto:email%20Immunisation%20Uni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immunisationhandbook.health.gov.au/contents/catch-up-vaccination" TargetMode="External"/><Relationship Id="rId31" Type="http://schemas.openxmlformats.org/officeDocument/2006/relationships/hyperlink" Target="https://www.health.vic.gov.au/immunisation/adverse-events-following-immunisation-reporting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hyperlink" Target="https://immunisationhandbook.health.gov.au/" TargetMode="External"/><Relationship Id="rId30" Type="http://schemas.openxmlformats.org/officeDocument/2006/relationships/hyperlink" Target="https://vic-immunisation-learning.com/" TargetMode="External"/><Relationship Id="rId35" Type="http://schemas.openxmlformats.org/officeDocument/2006/relationships/hyperlink" Target="https://www.health.vic.gov.au/immunisation/ordering-vaccine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SharedWithUsers xmlns="bef801f1-2872-443b-a104-0f84f9fd0895">
      <UserInfo>
        <DisplayName>Sarah Axford (Health)</DisplayName>
        <AccountId>924</AccountId>
        <AccountType/>
      </UserInfo>
      <UserInfo>
        <DisplayName>Sharon Harris (Health)</DisplayName>
        <AccountId>21</AccountId>
        <AccountType/>
      </UserInfo>
      <UserInfo>
        <DisplayName>Jacqui Bertucci (Health)</DisplayName>
        <AccountId>105</AccountId>
        <AccountType/>
      </UserInfo>
      <UserInfo>
        <DisplayName>Catherine Radkowski (Health)</DisplayName>
        <AccountId>39</AccountId>
        <AccountType/>
      </UserInfo>
      <UserInfo>
        <DisplayName>Megan Beasley (Health)</DisplayName>
        <AccountId>48</AccountId>
        <AccountType/>
      </UserInfo>
      <UserInfo>
        <DisplayName>Sam Bolitho (Health)</DisplayName>
        <AccountId>773</AccountId>
        <AccountType/>
      </UserInfo>
      <UserInfo>
        <DisplayName>Donna Hillier (Health)</DisplayName>
        <AccountId>1126</AccountId>
        <AccountType/>
      </UserInfo>
      <UserInfo>
        <DisplayName>Josie Cichello-Sanderson (Health)</DisplayName>
        <AccountId>716</AccountId>
        <AccountType/>
      </UserInfo>
      <UserInfo>
        <DisplayName>Femi Zhou (Health)</DisplayName>
        <AccountId>681</AccountId>
        <AccountType/>
      </UserInfo>
      <UserInfo>
        <DisplayName>Rachael Ball (Health)</DisplayName>
        <AccountId>1450</AccountId>
        <AccountType/>
      </UserInfo>
      <UserInfo>
        <DisplayName>Sophie A Wilson (Health)</DisplayName>
        <AccountId>663</AccountId>
        <AccountType/>
      </UserInfo>
    </SharedWithUsers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TRIMNumber xmlns="56f13c3b-1a5e-4b20-8813-0ef8710fa3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0" ma:contentTypeDescription="Create a new document." ma:contentTypeScope="" ma:versionID="cf8652c0cbea9bb8f30f805f3a9d551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58082ce8d91938352e14af7980b3d2f5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8DAF7-1252-40E0-BF1B-60B1D57EC8F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bef801f1-2872-443b-a104-0f84f9fd0895"/>
    <ds:schemaRef ds:uri="http://purl.org/dc/terms/"/>
    <ds:schemaRef ds:uri="56f13c3b-1a5e-4b20-8813-0ef8710fa3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9FF3C5-50B1-4D03-A8B2-956CBEFD7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4EA15-01FA-452A-B7AB-0030AA678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Vaxelis - Factsheet for immunisation providers</vt:lpstr>
    </vt:vector>
  </TitlesOfParts>
  <Manager/>
  <Company>State Government of Victoria, Department of Health</Company>
  <LinksUpToDate>false</LinksUpToDate>
  <CharactersWithSpaces>10233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Vaxelis - Factsheet for immunisation providers</dc:title>
  <dc:subject>Vaxelis - Factsheet for immunisation providers</dc:subject>
  <dc:creator>Health Protection Branch</dc:creator>
  <cp:keywords>vaxelis; factsheet; immunisation</cp:keywords>
  <dc:description/>
  <cp:lastModifiedBy/>
  <cp:revision>1</cp:revision>
  <dcterms:created xsi:type="dcterms:W3CDTF">2023-07-04T01:46:00Z</dcterms:created>
  <dcterms:modified xsi:type="dcterms:W3CDTF">2023-07-04T01:46:00Z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Language">
    <vt:lpwstr>English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2023-07-04T01:46:38Z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92cc3012-ced4-420f-8774-f65f1d0b6bb8</vt:lpwstr>
  </property>
  <property fmtid="{D5CDD505-2E9C-101B-9397-08002B2CF9AE}" pid="12" name="MSIP_Label_43e64453-338c-4f93-8a4d-0039a0a41f2a_ContentBits">
    <vt:lpwstr>2</vt:lpwstr>
  </property>
</Properties>
</file>